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20" w:rsidRDefault="00A76890" w:rsidP="00255020">
      <w:pPr>
        <w:pStyle w:val="Bullet1"/>
      </w:pPr>
      <w:bookmarkStart w:id="0" w:name="_Toc317955095"/>
      <w:bookmarkStart w:id="1" w:name="_Toc317955092"/>
      <w:bookmarkStart w:id="2" w:name="_Toc286417101"/>
      <w:r w:rsidRPr="00A76890">
        <w:t>For Immediate Release</w:t>
      </w:r>
    </w:p>
    <w:p w:rsidR="00A76890" w:rsidRPr="00255020" w:rsidRDefault="007A65AE" w:rsidP="00255020">
      <w:pPr>
        <w:pStyle w:val="Normal2-Para"/>
        <w:jc w:val="center"/>
        <w:rPr>
          <w:b/>
        </w:rPr>
      </w:pPr>
      <w:r w:rsidRPr="00255020">
        <w:rPr>
          <w:b/>
        </w:rPr>
        <w:t>27 February 2014</w:t>
      </w:r>
    </w:p>
    <w:p w:rsidR="005F2FB6" w:rsidRPr="00A76890" w:rsidRDefault="005F2FB6" w:rsidP="00704CC0">
      <w:pPr>
        <w:pStyle w:val="Heading1-Part"/>
        <w:tabs>
          <w:tab w:val="left" w:pos="567"/>
          <w:tab w:val="left" w:pos="1134"/>
          <w:tab w:val="left" w:pos="1701"/>
          <w:tab w:val="left" w:pos="2268"/>
        </w:tabs>
        <w:spacing w:before="240"/>
      </w:pPr>
      <w:r w:rsidRPr="00A76890">
        <w:t xml:space="preserve">Elephant Capital plc </w:t>
      </w:r>
    </w:p>
    <w:p w:rsidR="005F2FB6" w:rsidRPr="00A76890" w:rsidRDefault="005F2FB6" w:rsidP="00704CC0">
      <w:pPr>
        <w:pStyle w:val="Heading1-Part"/>
        <w:tabs>
          <w:tab w:val="left" w:pos="567"/>
          <w:tab w:val="left" w:pos="1134"/>
          <w:tab w:val="left" w:pos="1701"/>
          <w:tab w:val="left" w:pos="2268"/>
        </w:tabs>
        <w:spacing w:before="240"/>
      </w:pPr>
      <w:r w:rsidRPr="00A76890">
        <w:t xml:space="preserve">results for the year ended 31 August 2013 </w:t>
      </w:r>
    </w:p>
    <w:p w:rsidR="005F2FB6" w:rsidRPr="00A76890" w:rsidRDefault="005F2FB6" w:rsidP="00704CC0">
      <w:pPr>
        <w:pStyle w:val="Normal2-Para"/>
        <w:tabs>
          <w:tab w:val="left" w:pos="567"/>
          <w:tab w:val="left" w:pos="1134"/>
          <w:tab w:val="left" w:pos="1701"/>
          <w:tab w:val="left" w:pos="2268"/>
        </w:tabs>
        <w:spacing w:before="240" w:line="240" w:lineRule="auto"/>
      </w:pPr>
      <w:r w:rsidRPr="00A76890">
        <w:t>Elephant Capital plc (ECAP), the India focused private equity company, announces its results for the year ended 31 August 2013.</w:t>
      </w:r>
    </w:p>
    <w:p w:rsidR="005F2FB6" w:rsidRPr="00A76890" w:rsidRDefault="005F2FB6" w:rsidP="00704CC0">
      <w:pPr>
        <w:pStyle w:val="Heading2-Para"/>
        <w:rPr>
          <w:rFonts w:cs="Arial"/>
        </w:rPr>
      </w:pPr>
      <w:r w:rsidRPr="00A76890">
        <w:rPr>
          <w:rFonts w:cs="Arial"/>
        </w:rPr>
        <w:t>Key Points:</w:t>
      </w:r>
    </w:p>
    <w:p w:rsidR="005F2FB6" w:rsidRPr="00A76890" w:rsidRDefault="005F2FB6" w:rsidP="00704CC0">
      <w:pPr>
        <w:pStyle w:val="Bullet1"/>
        <w:numPr>
          <w:ilvl w:val="0"/>
          <w:numId w:val="8"/>
        </w:numPr>
        <w:tabs>
          <w:tab w:val="left" w:pos="567"/>
          <w:tab w:val="left" w:pos="1134"/>
          <w:tab w:val="left" w:pos="1701"/>
          <w:tab w:val="left" w:pos="2268"/>
        </w:tabs>
        <w:spacing w:before="120" w:line="240" w:lineRule="auto"/>
        <w:ind w:left="567" w:hanging="567"/>
      </w:pPr>
      <w:r w:rsidRPr="00A76890">
        <w:t>Net asset value per share 33p (28 February 2013: 40p; 31 August 2012: 44p)</w:t>
      </w:r>
    </w:p>
    <w:p w:rsidR="005F2FB6" w:rsidRPr="00A76890" w:rsidRDefault="005F2FB6" w:rsidP="00704CC0">
      <w:pPr>
        <w:pStyle w:val="Bullet1"/>
        <w:numPr>
          <w:ilvl w:val="0"/>
          <w:numId w:val="8"/>
        </w:numPr>
        <w:tabs>
          <w:tab w:val="left" w:pos="567"/>
          <w:tab w:val="left" w:pos="1134"/>
          <w:tab w:val="left" w:pos="1701"/>
          <w:tab w:val="left" w:pos="2268"/>
        </w:tabs>
        <w:spacing w:before="120" w:line="240" w:lineRule="auto"/>
        <w:ind w:left="567" w:hanging="567"/>
      </w:pPr>
      <w:r w:rsidRPr="00A76890">
        <w:t>Part of investment in Mahindra CIE was realised following 31 August 2013</w:t>
      </w:r>
    </w:p>
    <w:p w:rsidR="005F2FB6" w:rsidRPr="00A76890" w:rsidRDefault="005F2FB6" w:rsidP="00704CC0">
      <w:pPr>
        <w:pStyle w:val="Bullet1"/>
        <w:numPr>
          <w:ilvl w:val="0"/>
          <w:numId w:val="8"/>
        </w:numPr>
        <w:tabs>
          <w:tab w:val="left" w:pos="567"/>
          <w:tab w:val="left" w:pos="1134"/>
          <w:tab w:val="left" w:pos="1701"/>
          <w:tab w:val="left" w:pos="2268"/>
        </w:tabs>
        <w:spacing w:before="120" w:line="240" w:lineRule="auto"/>
        <w:ind w:left="567" w:hanging="567"/>
      </w:pPr>
      <w:r w:rsidRPr="00A76890">
        <w:t>Board changes and reduction in directors' fees as part of cost reduction exercise</w:t>
      </w:r>
    </w:p>
    <w:p w:rsidR="005F2FB6" w:rsidRPr="00A76890" w:rsidRDefault="005F2FB6" w:rsidP="00704CC0">
      <w:pPr>
        <w:pStyle w:val="Bullet1"/>
        <w:numPr>
          <w:ilvl w:val="0"/>
          <w:numId w:val="8"/>
        </w:numPr>
        <w:tabs>
          <w:tab w:val="left" w:pos="567"/>
          <w:tab w:val="left" w:pos="1134"/>
          <w:tab w:val="left" w:pos="1701"/>
          <w:tab w:val="left" w:pos="2268"/>
        </w:tabs>
        <w:spacing w:before="120" w:line="240" w:lineRule="auto"/>
        <w:ind w:left="567" w:hanging="567"/>
      </w:pPr>
      <w:r w:rsidRPr="00A76890">
        <w:t>Changes to investment management arrangements to remove any disincentive for the Investment Manager to procure an early return of capital</w:t>
      </w:r>
    </w:p>
    <w:p w:rsidR="005F2FB6" w:rsidRPr="00A76890" w:rsidRDefault="005F2FB6" w:rsidP="00704CC0">
      <w:pPr>
        <w:pStyle w:val="Normal2-Para"/>
        <w:tabs>
          <w:tab w:val="left" w:pos="567"/>
          <w:tab w:val="left" w:pos="1134"/>
          <w:tab w:val="left" w:pos="1701"/>
          <w:tab w:val="left" w:pos="2268"/>
        </w:tabs>
        <w:spacing w:before="240" w:line="240" w:lineRule="auto"/>
      </w:pPr>
      <w:r w:rsidRPr="00A76890">
        <w:t>Commenting, Chairman Vikram Lall, said:</w:t>
      </w:r>
    </w:p>
    <w:p w:rsidR="005F2FB6" w:rsidRPr="00A76890" w:rsidRDefault="005F2FB6" w:rsidP="00704CC0">
      <w:pPr>
        <w:pStyle w:val="Normal2-Para"/>
        <w:tabs>
          <w:tab w:val="left" w:pos="567"/>
          <w:tab w:val="left" w:pos="1134"/>
          <w:tab w:val="left" w:pos="1701"/>
          <w:tab w:val="left" w:pos="2268"/>
        </w:tabs>
        <w:spacing w:before="60" w:line="240" w:lineRule="auto"/>
      </w:pPr>
      <w:r w:rsidRPr="00A76890">
        <w:t>“We intend to return further capital to shareholders on sale of the listed portfolio in the coming months."</w:t>
      </w:r>
    </w:p>
    <w:p w:rsidR="005F2FB6" w:rsidRPr="00A76890" w:rsidRDefault="005F2FB6" w:rsidP="00704CC0">
      <w:pPr>
        <w:pStyle w:val="Normal2-Para"/>
        <w:tabs>
          <w:tab w:val="left" w:pos="567"/>
          <w:tab w:val="left" w:pos="1134"/>
          <w:tab w:val="left" w:pos="1701"/>
          <w:tab w:val="left" w:pos="2268"/>
        </w:tabs>
        <w:spacing w:before="240" w:line="240" w:lineRule="auto"/>
      </w:pPr>
      <w:r w:rsidRPr="00A76890">
        <w:t>For further information please contact:</w:t>
      </w:r>
    </w:p>
    <w:tbl>
      <w:tblPr>
        <w:tblW w:w="8840" w:type="dxa"/>
        <w:tblCellSpacing w:w="0" w:type="dxa"/>
        <w:tblCellMar>
          <w:left w:w="0" w:type="dxa"/>
          <w:right w:w="0" w:type="dxa"/>
        </w:tblCellMar>
        <w:tblLook w:val="04A0"/>
      </w:tblPr>
      <w:tblGrid>
        <w:gridCol w:w="4821"/>
        <w:gridCol w:w="4019"/>
      </w:tblGrid>
      <w:tr w:rsidR="005F2FB6" w:rsidRPr="00A76890" w:rsidTr="00562F9C">
        <w:trPr>
          <w:trHeight w:val="20"/>
          <w:tblCellSpacing w:w="0" w:type="dxa"/>
        </w:trPr>
        <w:tc>
          <w:tcPr>
            <w:tcW w:w="2727" w:type="pct"/>
            <w:hideMark/>
          </w:tcPr>
          <w:p w:rsidR="005F2FB6" w:rsidRPr="00A76890" w:rsidRDefault="005F2FB6" w:rsidP="00704CC0">
            <w:pPr>
              <w:pStyle w:val="Normal2-Para"/>
              <w:tabs>
                <w:tab w:val="left" w:pos="567"/>
                <w:tab w:val="left" w:pos="1134"/>
                <w:tab w:val="left" w:pos="1701"/>
                <w:tab w:val="left" w:pos="2268"/>
              </w:tabs>
              <w:spacing w:line="240" w:lineRule="auto"/>
              <w:jc w:val="left"/>
            </w:pPr>
            <w:r w:rsidRPr="00A76890">
              <w:t xml:space="preserve">Vikram Lall, Chairman </w:t>
            </w:r>
          </w:p>
        </w:tc>
        <w:tc>
          <w:tcPr>
            <w:tcW w:w="2273" w:type="pct"/>
            <w:hideMark/>
          </w:tcPr>
          <w:p w:rsidR="005F2FB6" w:rsidRPr="00A76890" w:rsidRDefault="005F2FB6" w:rsidP="00704CC0">
            <w:pPr>
              <w:pStyle w:val="Normal2-Para"/>
              <w:tabs>
                <w:tab w:val="left" w:pos="567"/>
                <w:tab w:val="left" w:pos="1134"/>
                <w:tab w:val="left" w:pos="1701"/>
                <w:tab w:val="left" w:pos="2268"/>
              </w:tabs>
              <w:spacing w:line="240" w:lineRule="auto"/>
              <w:jc w:val="left"/>
            </w:pPr>
            <w:r w:rsidRPr="00A76890">
              <w:t>+1473  533 2513</w:t>
            </w:r>
            <w:r w:rsidR="00A76890">
              <w:br/>
            </w:r>
            <w:r w:rsidRPr="00A76890">
              <w:t>+44 (0) 16 2082 5130</w:t>
            </w:r>
          </w:p>
        </w:tc>
      </w:tr>
      <w:tr w:rsidR="005F2FB6" w:rsidRPr="00A76890" w:rsidTr="00562F9C">
        <w:trPr>
          <w:trHeight w:val="20"/>
          <w:tblCellSpacing w:w="0" w:type="dxa"/>
        </w:trPr>
        <w:tc>
          <w:tcPr>
            <w:tcW w:w="2727" w:type="pct"/>
            <w:hideMark/>
          </w:tcPr>
          <w:p w:rsidR="005F2FB6" w:rsidRPr="00A76890" w:rsidRDefault="00A76890" w:rsidP="00704CC0">
            <w:pPr>
              <w:pStyle w:val="Normal2-Para"/>
              <w:tabs>
                <w:tab w:val="left" w:pos="567"/>
                <w:tab w:val="left" w:pos="1134"/>
                <w:tab w:val="left" w:pos="1701"/>
                <w:tab w:val="left" w:pos="2268"/>
              </w:tabs>
              <w:spacing w:line="240" w:lineRule="auto"/>
              <w:jc w:val="left"/>
            </w:pPr>
            <w:r w:rsidRPr="00A76890">
              <w:t>Gaurav Burman</w:t>
            </w:r>
            <w:r>
              <w:br/>
            </w:r>
            <w:r w:rsidRPr="00A76890">
              <w:t>Elephant Capital plc</w:t>
            </w:r>
          </w:p>
        </w:tc>
        <w:tc>
          <w:tcPr>
            <w:tcW w:w="2273" w:type="pct"/>
            <w:hideMark/>
          </w:tcPr>
          <w:p w:rsidR="005F2FB6" w:rsidRPr="00A76890" w:rsidRDefault="00A76890" w:rsidP="00704CC0">
            <w:pPr>
              <w:pStyle w:val="Normal2-Para"/>
              <w:tabs>
                <w:tab w:val="left" w:pos="567"/>
                <w:tab w:val="left" w:pos="1134"/>
                <w:tab w:val="left" w:pos="1701"/>
                <w:tab w:val="left" w:pos="2268"/>
              </w:tabs>
              <w:spacing w:line="240" w:lineRule="auto"/>
              <w:jc w:val="left"/>
            </w:pPr>
            <w:r w:rsidRPr="00A76890">
              <w:t>+</w:t>
            </w:r>
            <w:r w:rsidRPr="00A76890">
              <w:rPr>
                <w:lang w:val="fr-FR"/>
              </w:rPr>
              <w:t>44(0) 20 7389 1770</w:t>
            </w:r>
          </w:p>
        </w:tc>
      </w:tr>
      <w:tr w:rsidR="005F2FB6" w:rsidRPr="00A76890" w:rsidTr="00562F9C">
        <w:trPr>
          <w:trHeight w:val="20"/>
          <w:tblCellSpacing w:w="0" w:type="dxa"/>
        </w:trPr>
        <w:tc>
          <w:tcPr>
            <w:tcW w:w="2727" w:type="pct"/>
            <w:hideMark/>
          </w:tcPr>
          <w:p w:rsidR="005F2FB6" w:rsidRPr="00A76890" w:rsidRDefault="005F2FB6" w:rsidP="00704CC0">
            <w:pPr>
              <w:pStyle w:val="Normal2-Para"/>
              <w:tabs>
                <w:tab w:val="left" w:pos="567"/>
                <w:tab w:val="left" w:pos="1134"/>
                <w:tab w:val="left" w:pos="1701"/>
                <w:tab w:val="left" w:pos="2268"/>
              </w:tabs>
              <w:spacing w:line="240" w:lineRule="auto"/>
              <w:jc w:val="left"/>
            </w:pPr>
            <w:r w:rsidRPr="00A76890">
              <w:t xml:space="preserve"> Sue Inglis </w:t>
            </w:r>
            <w:r w:rsidR="00A76890">
              <w:br/>
            </w:r>
            <w:r w:rsidRPr="00A76890">
              <w:t>Cantor Fitzgerald Europe (Nominated Adviser)</w:t>
            </w:r>
          </w:p>
        </w:tc>
        <w:tc>
          <w:tcPr>
            <w:tcW w:w="2273" w:type="pct"/>
            <w:hideMark/>
          </w:tcPr>
          <w:p w:rsidR="005F2FB6" w:rsidRPr="00A76890" w:rsidRDefault="005F2FB6" w:rsidP="00704CC0">
            <w:pPr>
              <w:pStyle w:val="Normal2-Para"/>
              <w:tabs>
                <w:tab w:val="left" w:pos="567"/>
                <w:tab w:val="left" w:pos="1134"/>
                <w:tab w:val="left" w:pos="1701"/>
                <w:tab w:val="left" w:pos="2268"/>
              </w:tabs>
              <w:spacing w:line="240" w:lineRule="auto"/>
              <w:jc w:val="left"/>
            </w:pPr>
            <w:r w:rsidRPr="00A76890">
              <w:t>+44 (0) 20 7894 8016</w:t>
            </w:r>
          </w:p>
        </w:tc>
      </w:tr>
    </w:tbl>
    <w:p w:rsidR="00A73C43" w:rsidRPr="00704CC0" w:rsidRDefault="00A73C43" w:rsidP="00704CC0">
      <w:pPr>
        <w:pStyle w:val="Heading2-Para"/>
        <w:spacing w:before="720"/>
        <w:rPr>
          <w:rFonts w:cs="Arial"/>
          <w:sz w:val="24"/>
          <w:szCs w:val="24"/>
        </w:rPr>
      </w:pPr>
      <w:r w:rsidRPr="00704CC0">
        <w:rPr>
          <w:rFonts w:cs="Arial"/>
          <w:sz w:val="24"/>
          <w:szCs w:val="24"/>
        </w:rPr>
        <w:t>Chairman’s Statement</w:t>
      </w:r>
    </w:p>
    <w:p w:rsidR="00A73C43" w:rsidRPr="00B8249C" w:rsidRDefault="00A73C43" w:rsidP="00704CC0">
      <w:pPr>
        <w:pStyle w:val="Heading2-Para"/>
        <w:rPr>
          <w:rFonts w:cs="Arial"/>
        </w:rPr>
      </w:pPr>
      <w:r w:rsidRPr="00B8249C">
        <w:rPr>
          <w:rFonts w:cs="Arial"/>
        </w:rPr>
        <w:t xml:space="preserve">Results and </w:t>
      </w:r>
      <w:r w:rsidR="00AB4C94" w:rsidRPr="00B8249C">
        <w:rPr>
          <w:rFonts w:cs="Arial"/>
        </w:rPr>
        <w:t>P</w:t>
      </w:r>
      <w:r w:rsidRPr="00B8249C">
        <w:rPr>
          <w:rFonts w:cs="Arial"/>
        </w:rPr>
        <w:t xml:space="preserve">ortfolio </w:t>
      </w:r>
      <w:r w:rsidR="00AB4C94" w:rsidRPr="00B8249C">
        <w:rPr>
          <w:rFonts w:cs="Arial"/>
        </w:rPr>
        <w:t>C</w:t>
      </w:r>
      <w:r w:rsidRPr="00B8249C">
        <w:rPr>
          <w:rFonts w:cs="Arial"/>
        </w:rPr>
        <w:t>hanges</w:t>
      </w:r>
    </w:p>
    <w:p w:rsidR="00A73C43" w:rsidRPr="00B8249C" w:rsidRDefault="00A73C43" w:rsidP="00704CC0">
      <w:pPr>
        <w:pStyle w:val="Normal2-Para"/>
        <w:tabs>
          <w:tab w:val="left" w:pos="567"/>
          <w:tab w:val="left" w:pos="1134"/>
          <w:tab w:val="left" w:pos="1701"/>
          <w:tab w:val="left" w:pos="2268"/>
        </w:tabs>
        <w:spacing w:line="240" w:lineRule="auto"/>
      </w:pPr>
      <w:r w:rsidRPr="00B8249C">
        <w:t>As at 31 August</w:t>
      </w:r>
      <w:r w:rsidR="00152548" w:rsidRPr="00B8249C">
        <w:t xml:space="preserve"> 2013</w:t>
      </w:r>
      <w:r w:rsidRPr="00B8249C">
        <w:t xml:space="preserve">, </w:t>
      </w:r>
      <w:r w:rsidR="00B54A15" w:rsidRPr="00B8249C">
        <w:t>Net Asset Value</w:t>
      </w:r>
      <w:r w:rsidR="001B04C8" w:rsidRPr="00B8249C">
        <w:t xml:space="preserve"> </w:t>
      </w:r>
      <w:r w:rsidR="00B54A15" w:rsidRPr="00B8249C">
        <w:t>(“NAV”)</w:t>
      </w:r>
      <w:r w:rsidRPr="00B8249C">
        <w:t xml:space="preserve"> was GBP 8.1 million or 33p per share</w:t>
      </w:r>
      <w:r w:rsidR="0053497C" w:rsidRPr="00B8249C">
        <w:t>,</w:t>
      </w:r>
      <w:r w:rsidRPr="00B8249C">
        <w:t xml:space="preserve"> compared to GBP 21</w:t>
      </w:r>
      <w:r w:rsidR="0053497C" w:rsidRPr="00B8249C">
        <w:t xml:space="preserve"> </w:t>
      </w:r>
      <w:r w:rsidRPr="00B8249C">
        <w:t>million or 44p per share as at 31 August 2012. The reduction in NAV reflects the purchase of the Company's shares for cancellation of GBP 9 million, a GBP 2.5 million fall in the valuation of the unlisted investment portfolio, including an exchange loss of GBP 0.8 million, a GBP 0.5 million fall in the listed investment portfolio, including an exchange loss of GBP 0.4 million, and the excess of expenses over income of GBP 0.9 million.</w:t>
      </w:r>
    </w:p>
    <w:p w:rsidR="00A73C43" w:rsidRPr="00B8249C" w:rsidRDefault="00A73C43" w:rsidP="00704CC0">
      <w:pPr>
        <w:pStyle w:val="Normal2-Para"/>
        <w:tabs>
          <w:tab w:val="left" w:pos="567"/>
          <w:tab w:val="left" w:pos="1134"/>
          <w:tab w:val="left" w:pos="1701"/>
          <w:tab w:val="left" w:pos="2268"/>
        </w:tabs>
        <w:spacing w:line="240" w:lineRule="auto"/>
      </w:pPr>
      <w:r w:rsidRPr="00B8249C">
        <w:t>No new investments were made during the year. As already reported</w:t>
      </w:r>
      <w:r w:rsidR="0053497C" w:rsidRPr="00B8249C">
        <w:t>,</w:t>
      </w:r>
      <w:r w:rsidRPr="00B8249C">
        <w:t xml:space="preserve"> the investment in EIH Ltd. was sold in September 2012, and the investment in ClinTec Luxembourg S.A. was disposed of in December 2012.</w:t>
      </w:r>
      <w:r w:rsidR="00A463D4" w:rsidRPr="00B8249C">
        <w:t xml:space="preserve"> </w:t>
      </w:r>
      <w:r w:rsidRPr="00B8249C">
        <w:t>Since the year end there was a partial disposal of a listed investment which is detailed below.</w:t>
      </w:r>
    </w:p>
    <w:p w:rsidR="00A73C43" w:rsidRPr="00B8249C" w:rsidRDefault="00A73C43" w:rsidP="00704CC0">
      <w:pPr>
        <w:pStyle w:val="Heading2-Para"/>
      </w:pPr>
      <w:r w:rsidRPr="00B8249C">
        <w:t>Unlisted Investment Portfolio</w:t>
      </w:r>
    </w:p>
    <w:p w:rsidR="00A73C43" w:rsidRPr="00B8249C" w:rsidRDefault="00A73C43" w:rsidP="00704CC0">
      <w:pPr>
        <w:pStyle w:val="Normal2-Para"/>
        <w:tabs>
          <w:tab w:val="left" w:pos="567"/>
          <w:tab w:val="left" w:pos="1134"/>
          <w:tab w:val="left" w:pos="1701"/>
          <w:tab w:val="left" w:pos="2268"/>
        </w:tabs>
        <w:spacing w:line="240" w:lineRule="auto"/>
      </w:pPr>
      <w:r w:rsidRPr="00B8249C">
        <w:t>Air Works India (Engineering) Private Limited (“Air Works”) has been performing satisfactorily. During the year the company raised further capital to finance its future growth and make an acquisition.</w:t>
      </w:r>
    </w:p>
    <w:p w:rsidR="00A73C43" w:rsidRPr="00A76890" w:rsidRDefault="00A73C43" w:rsidP="00704CC0">
      <w:pPr>
        <w:pStyle w:val="Normal2-Para"/>
        <w:tabs>
          <w:tab w:val="left" w:pos="567"/>
          <w:tab w:val="left" w:pos="1134"/>
          <w:tab w:val="left" w:pos="1701"/>
          <w:tab w:val="left" w:pos="2268"/>
        </w:tabs>
        <w:spacing w:line="240" w:lineRule="auto"/>
      </w:pPr>
      <w:r w:rsidRPr="00A76890">
        <w:lastRenderedPageBreak/>
        <w:t xml:space="preserve">Efforts continue to realise Elephant Capital’s investment in </w:t>
      </w:r>
      <w:r w:rsidRPr="00A76890">
        <w:rPr>
          <w:color w:val="000000"/>
        </w:rPr>
        <w:t>Global Cricket Ventures Ltd., Mauritius (“GCV”)</w:t>
      </w:r>
      <w:r w:rsidRPr="00A76890">
        <w:t>. The investment in GCV has been valued at GBP 0.58 million based on the estimated net asset value of GCV as attributable to Elephant Capital’s shareholding as at 31 August 2013.</w:t>
      </w:r>
    </w:p>
    <w:p w:rsidR="00A73C43" w:rsidRPr="00A76890" w:rsidRDefault="00A73C43" w:rsidP="00704CC0">
      <w:pPr>
        <w:pStyle w:val="Normal2-Para"/>
        <w:tabs>
          <w:tab w:val="left" w:pos="567"/>
          <w:tab w:val="left" w:pos="1134"/>
          <w:tab w:val="left" w:pos="1701"/>
          <w:tab w:val="left" w:pos="2268"/>
        </w:tabs>
        <w:spacing w:line="240" w:lineRule="auto"/>
      </w:pPr>
      <w:proofErr w:type="spellStart"/>
      <w:r w:rsidRPr="00A76890">
        <w:t>Amar</w:t>
      </w:r>
      <w:proofErr w:type="spellEnd"/>
      <w:r w:rsidRPr="00A76890">
        <w:t xml:space="preserve"> </w:t>
      </w:r>
      <w:proofErr w:type="spellStart"/>
      <w:r w:rsidRPr="00A76890">
        <w:t>Chitra</w:t>
      </w:r>
      <w:proofErr w:type="spellEnd"/>
      <w:r w:rsidRPr="00A76890">
        <w:t xml:space="preserve"> </w:t>
      </w:r>
      <w:proofErr w:type="spellStart"/>
      <w:r w:rsidRPr="00A76890">
        <w:t>Katha</w:t>
      </w:r>
      <w:proofErr w:type="spellEnd"/>
      <w:r w:rsidRPr="00A76890">
        <w:t xml:space="preserve"> Private Limited (“ACK”) has underperformed against budget and its valuation</w:t>
      </w:r>
      <w:r w:rsidR="0053497C" w:rsidRPr="00A76890">
        <w:t>,</w:t>
      </w:r>
      <w:r w:rsidRPr="00A76890">
        <w:t xml:space="preserve"> based on </w:t>
      </w:r>
      <w:r w:rsidR="0053497C" w:rsidRPr="00A76890">
        <w:t xml:space="preserve">an independent </w:t>
      </w:r>
      <w:r w:rsidRPr="00A76890">
        <w:t>third party opinion</w:t>
      </w:r>
      <w:r w:rsidR="00FC1245" w:rsidRPr="00A76890">
        <w:t>,</w:t>
      </w:r>
      <w:r w:rsidRPr="00A76890">
        <w:t xml:space="preserve"> has been reduced to GBP 1.37 million at 31 August 2013 compared to GBP 2.13 million at 28 February 2013.</w:t>
      </w:r>
    </w:p>
    <w:p w:rsidR="00A73C43" w:rsidRPr="00A76890" w:rsidRDefault="00A73C43" w:rsidP="00704CC0">
      <w:pPr>
        <w:pStyle w:val="Normal2-Para"/>
        <w:tabs>
          <w:tab w:val="left" w:pos="567"/>
          <w:tab w:val="left" w:pos="1134"/>
          <w:tab w:val="left" w:pos="1701"/>
          <w:tab w:val="left" w:pos="2268"/>
        </w:tabs>
        <w:spacing w:line="240" w:lineRule="auto"/>
      </w:pPr>
      <w:r w:rsidRPr="00A76890">
        <w:t>Full details of the Company’s unlisted investments are included in the Investment Manager’s re</w:t>
      </w:r>
      <w:r w:rsidR="002868F4" w:rsidRPr="00A76890">
        <w:t>view</w:t>
      </w:r>
      <w:r w:rsidRPr="00A76890">
        <w:t>.</w:t>
      </w:r>
    </w:p>
    <w:p w:rsidR="00A73C43" w:rsidRPr="00A76890" w:rsidRDefault="00A73C43" w:rsidP="00704CC0">
      <w:pPr>
        <w:pStyle w:val="Heading2-Para"/>
      </w:pPr>
      <w:r w:rsidRPr="00A76890">
        <w:t>Listed Investment Portfolio</w:t>
      </w:r>
    </w:p>
    <w:p w:rsidR="00A73C43" w:rsidRPr="00A76890" w:rsidRDefault="00A73C43" w:rsidP="00704CC0">
      <w:pPr>
        <w:pStyle w:val="Normal2-Para"/>
        <w:tabs>
          <w:tab w:val="left" w:pos="567"/>
          <w:tab w:val="left" w:pos="1134"/>
          <w:tab w:val="left" w:pos="1701"/>
          <w:tab w:val="left" w:pos="2268"/>
        </w:tabs>
        <w:spacing w:line="240" w:lineRule="auto"/>
      </w:pPr>
      <w:r w:rsidRPr="00A76890">
        <w:t>The Indian stock markets have been very volatile during the period</w:t>
      </w:r>
      <w:r w:rsidR="00FC1245" w:rsidRPr="00A76890">
        <w:t>,</w:t>
      </w:r>
      <w:r w:rsidRPr="00A76890">
        <w:t xml:space="preserve"> finishing up circa 7% by the end of </w:t>
      </w:r>
      <w:r w:rsidR="00FC1245" w:rsidRPr="00A76890">
        <w:t xml:space="preserve">the </w:t>
      </w:r>
      <w:r w:rsidRPr="00A76890">
        <w:t xml:space="preserve">last financial year. </w:t>
      </w:r>
      <w:proofErr w:type="gramStart"/>
      <w:r w:rsidRPr="00A76890">
        <w:t>Mahindra CIE Automotive Ltd.</w:t>
      </w:r>
      <w:r w:rsidR="00F15C89" w:rsidRPr="00A76890">
        <w:t xml:space="preserve"> </w:t>
      </w:r>
      <w:r w:rsidRPr="00A76890">
        <w:t>(previously known as Mahindra Forgings Ltd.)</w:t>
      </w:r>
      <w:proofErr w:type="gramEnd"/>
      <w:r w:rsidRPr="00A76890">
        <w:t xml:space="preserve"> (“MCAL”) performed better than </w:t>
      </w:r>
      <w:r w:rsidR="00FC1245" w:rsidRPr="00A76890">
        <w:t xml:space="preserve">the </w:t>
      </w:r>
      <w:r w:rsidRPr="00A76890">
        <w:t>market with circa 21% gain in stock price. The other listed investment</w:t>
      </w:r>
      <w:r w:rsidR="00FC1245" w:rsidRPr="00A76890">
        <w:t>,</w:t>
      </w:r>
      <w:r w:rsidRPr="00A76890">
        <w:t xml:space="preserve"> Nitco Limited (“Nitco”)</w:t>
      </w:r>
      <w:r w:rsidR="00FC1245" w:rsidRPr="00A76890">
        <w:t>,</w:t>
      </w:r>
      <w:r w:rsidRPr="00A76890">
        <w:t xml:space="preserve"> underperformed against the market and lost circa 38% of its value during the year.</w:t>
      </w:r>
    </w:p>
    <w:p w:rsidR="00A73C43" w:rsidRPr="00A76890" w:rsidRDefault="00A73C43" w:rsidP="00704CC0">
      <w:pPr>
        <w:pStyle w:val="Normal2-Para"/>
        <w:tabs>
          <w:tab w:val="left" w:pos="567"/>
          <w:tab w:val="left" w:pos="1134"/>
          <w:tab w:val="left" w:pos="1701"/>
          <w:tab w:val="left" w:pos="2268"/>
        </w:tabs>
        <w:spacing w:line="240" w:lineRule="auto"/>
      </w:pPr>
      <w:r w:rsidRPr="00A76890">
        <w:t>We have continued our efforts to realise our listed portfolio but have been hampered by poor liquidity in the listed stocks held. Since the year end, Elephant Capital sold circa 65% of its holding in MCAL for GBP 1.42 million.</w:t>
      </w:r>
    </w:p>
    <w:p w:rsidR="00A73C43" w:rsidRPr="00A76890" w:rsidRDefault="00A73C43" w:rsidP="00704CC0">
      <w:pPr>
        <w:pStyle w:val="Normal2-Para"/>
        <w:tabs>
          <w:tab w:val="left" w:pos="567"/>
          <w:tab w:val="left" w:pos="1134"/>
          <w:tab w:val="left" w:pos="1701"/>
          <w:tab w:val="left" w:pos="2268"/>
        </w:tabs>
        <w:spacing w:line="240" w:lineRule="auto"/>
      </w:pPr>
      <w:r w:rsidRPr="00A76890">
        <w:t>Full details of the Company’s listed investments are included in the Investment Manager’s Review.</w:t>
      </w:r>
    </w:p>
    <w:p w:rsidR="00A73C43" w:rsidRPr="00A76890" w:rsidRDefault="00A73C43" w:rsidP="00704CC0">
      <w:pPr>
        <w:pStyle w:val="Heading2-Para"/>
      </w:pPr>
      <w:r w:rsidRPr="00A76890">
        <w:t>Return of Capital</w:t>
      </w:r>
    </w:p>
    <w:p w:rsidR="00A73C43" w:rsidRPr="00A76890" w:rsidRDefault="00A73C43" w:rsidP="00704CC0">
      <w:pPr>
        <w:pStyle w:val="Normal2-Para"/>
        <w:tabs>
          <w:tab w:val="left" w:pos="567"/>
          <w:tab w:val="left" w:pos="1134"/>
          <w:tab w:val="left" w:pos="1701"/>
          <w:tab w:val="left" w:pos="2268"/>
        </w:tabs>
        <w:spacing w:line="240" w:lineRule="auto"/>
      </w:pPr>
      <w:r w:rsidRPr="00A76890">
        <w:t>In April 2013, 23,076,900 ordinary shares were successfully tendered for cancellation at a price of 39p per share. Following the cancellation of the above shares 24,662,511 ordinary shares remain in issue.</w:t>
      </w:r>
    </w:p>
    <w:p w:rsidR="00A73C43" w:rsidRPr="00A76890" w:rsidRDefault="00A73C43" w:rsidP="00704CC0">
      <w:pPr>
        <w:pStyle w:val="Heading2-Para"/>
      </w:pPr>
      <w:r w:rsidRPr="00A76890">
        <w:t xml:space="preserve">Board Changes and </w:t>
      </w:r>
      <w:r w:rsidR="0000138D" w:rsidRPr="00A76890">
        <w:t>F</w:t>
      </w:r>
      <w:r w:rsidRPr="00A76890">
        <w:t xml:space="preserve">ee </w:t>
      </w:r>
      <w:r w:rsidR="0000138D" w:rsidRPr="00A76890">
        <w:t>R</w:t>
      </w:r>
      <w:r w:rsidRPr="00A76890">
        <w:t>eduction</w:t>
      </w:r>
    </w:p>
    <w:p w:rsidR="00A73C43" w:rsidRPr="00A76890" w:rsidRDefault="00A73C43" w:rsidP="00704CC0">
      <w:pPr>
        <w:pStyle w:val="Normal2-Para"/>
        <w:tabs>
          <w:tab w:val="left" w:pos="567"/>
          <w:tab w:val="left" w:pos="1134"/>
          <w:tab w:val="left" w:pos="1701"/>
          <w:tab w:val="left" w:pos="2268"/>
        </w:tabs>
        <w:spacing w:line="240" w:lineRule="auto"/>
      </w:pPr>
      <w:r w:rsidRPr="00A76890">
        <w:t xml:space="preserve">As already reported James Norman Hauslein retired from the </w:t>
      </w:r>
      <w:r w:rsidR="00B54A15" w:rsidRPr="00A76890">
        <w:t>B</w:t>
      </w:r>
      <w:r w:rsidRPr="00A76890">
        <w:t xml:space="preserve">oard at the 2013 AGM. Gaurav Burman retired from the </w:t>
      </w:r>
      <w:r w:rsidR="00B54A15" w:rsidRPr="00A76890">
        <w:t>B</w:t>
      </w:r>
      <w:r w:rsidRPr="00A76890">
        <w:t xml:space="preserve">oard on </w:t>
      </w:r>
      <w:r w:rsidR="006947AC" w:rsidRPr="00A76890">
        <w:t xml:space="preserve">26 </w:t>
      </w:r>
      <w:r w:rsidRPr="00A76890">
        <w:t xml:space="preserve">February 2014, as part of a cost reduction exercise, though we continue to have access to Gaurav's services through his role within the Investment Manager's team. With </w:t>
      </w:r>
      <w:proofErr w:type="gramStart"/>
      <w:r w:rsidRPr="00A76890">
        <w:t>effect</w:t>
      </w:r>
      <w:proofErr w:type="gramEnd"/>
      <w:r w:rsidRPr="00A76890">
        <w:t xml:space="preserve"> from 1 March 2014 the remaining three </w:t>
      </w:r>
      <w:r w:rsidR="00B54A15" w:rsidRPr="00A76890">
        <w:t>N</w:t>
      </w:r>
      <w:r w:rsidRPr="00A76890">
        <w:t>on</w:t>
      </w:r>
      <w:r w:rsidR="0062212E" w:rsidRPr="00A76890">
        <w:t>-</w:t>
      </w:r>
      <w:r w:rsidR="00B54A15" w:rsidRPr="00A76890">
        <w:t>E</w:t>
      </w:r>
      <w:r w:rsidRPr="00A76890">
        <w:t xml:space="preserve">xecutive </w:t>
      </w:r>
      <w:r w:rsidR="00B54A15" w:rsidRPr="00A76890">
        <w:t>D</w:t>
      </w:r>
      <w:r w:rsidRPr="00A76890">
        <w:t>irectors, including myself, will have their annual remuneration reduced by 20%.</w:t>
      </w:r>
    </w:p>
    <w:p w:rsidR="00A73C43" w:rsidRPr="00A76890" w:rsidRDefault="00A73C43" w:rsidP="00704CC0">
      <w:pPr>
        <w:pStyle w:val="Heading2-Para"/>
      </w:pPr>
      <w:r w:rsidRPr="00A76890">
        <w:t xml:space="preserve">Changes to Investment Management </w:t>
      </w:r>
      <w:r w:rsidR="0000138D" w:rsidRPr="00A76890">
        <w:t>A</w:t>
      </w:r>
      <w:r w:rsidRPr="00A76890">
        <w:t>rrangements</w:t>
      </w:r>
    </w:p>
    <w:p w:rsidR="00A73C43" w:rsidRPr="00A76890" w:rsidRDefault="00A73C43" w:rsidP="00704CC0">
      <w:pPr>
        <w:pStyle w:val="Normal2-Para"/>
        <w:tabs>
          <w:tab w:val="left" w:pos="567"/>
          <w:tab w:val="left" w:pos="1134"/>
          <w:tab w:val="left" w:pos="1701"/>
          <w:tab w:val="left" w:pos="2268"/>
        </w:tabs>
        <w:spacing w:line="240" w:lineRule="auto"/>
      </w:pPr>
      <w:r w:rsidRPr="00A76890">
        <w:t xml:space="preserve">The existing </w:t>
      </w:r>
      <w:r w:rsidR="0089442F" w:rsidRPr="00A76890">
        <w:t>i</w:t>
      </w:r>
      <w:r w:rsidRPr="00A76890">
        <w:t>nvestment management agreement</w:t>
      </w:r>
      <w:r w:rsidR="0089442F" w:rsidRPr="00A76890">
        <w:t>s</w:t>
      </w:r>
      <w:r w:rsidRPr="00A76890">
        <w:t xml:space="preserve"> entitle the Investment Manager</w:t>
      </w:r>
      <w:r w:rsidR="001B04C8" w:rsidRPr="00A76890">
        <w:t xml:space="preserve"> </w:t>
      </w:r>
      <w:r w:rsidR="0089442F" w:rsidRPr="00A76890">
        <w:t xml:space="preserve">(and their related parties appointed to provide services to the </w:t>
      </w:r>
      <w:r w:rsidR="001A051C" w:rsidRPr="00A76890">
        <w:t>Group</w:t>
      </w:r>
      <w:r w:rsidR="0089442F" w:rsidRPr="00A76890">
        <w:t>)</w:t>
      </w:r>
      <w:r w:rsidRPr="00A76890">
        <w:t xml:space="preserve"> to a fee equivalent to 2% of NAV. </w:t>
      </w:r>
      <w:r w:rsidR="0081457D" w:rsidRPr="00A76890">
        <w:t>This would amount to GBP 0.16 million per annum based on the NAV of GBP 8.1 million a</w:t>
      </w:r>
      <w:r w:rsidR="006466F2" w:rsidRPr="00A76890">
        <w:t>t</w:t>
      </w:r>
      <w:r w:rsidR="0081457D" w:rsidRPr="00A76890">
        <w:t xml:space="preserve"> 31 August 2013. </w:t>
      </w:r>
      <w:r w:rsidR="0089442F" w:rsidRPr="00A76890">
        <w:t xml:space="preserve">The </w:t>
      </w:r>
      <w:r w:rsidR="00A96E65" w:rsidRPr="00A76890">
        <w:t>B</w:t>
      </w:r>
      <w:r w:rsidR="0089442F" w:rsidRPr="00A76890">
        <w:t>oard believes that a</w:t>
      </w:r>
      <w:r w:rsidR="0081457D" w:rsidRPr="00A76890">
        <w:t xml:space="preserve"> fee based on NAV introduces a </w:t>
      </w:r>
      <w:r w:rsidRPr="00A76890">
        <w:t xml:space="preserve">disincentive </w:t>
      </w:r>
      <w:r w:rsidR="0081457D" w:rsidRPr="00A76890">
        <w:t xml:space="preserve">for the Investment Manager to </w:t>
      </w:r>
      <w:r w:rsidR="00A96E65" w:rsidRPr="00A76890">
        <w:t>procure an</w:t>
      </w:r>
      <w:r w:rsidRPr="00A76890">
        <w:t xml:space="preserve"> early return o</w:t>
      </w:r>
      <w:r w:rsidR="008A1FE6" w:rsidRPr="00A76890">
        <w:t>f</w:t>
      </w:r>
      <w:r w:rsidRPr="00A76890">
        <w:t xml:space="preserve"> capital</w:t>
      </w:r>
      <w:r w:rsidR="0081457D" w:rsidRPr="00A76890">
        <w:t xml:space="preserve">. To remove this disincentive effect the </w:t>
      </w:r>
      <w:r w:rsidR="00A96E65" w:rsidRPr="00A76890">
        <w:t>B</w:t>
      </w:r>
      <w:r w:rsidR="0081457D" w:rsidRPr="00A76890">
        <w:t xml:space="preserve">oard has agreed to change </w:t>
      </w:r>
      <w:r w:rsidR="001B04C8" w:rsidRPr="00A76890">
        <w:t xml:space="preserve">this </w:t>
      </w:r>
      <w:r w:rsidRPr="00A76890">
        <w:t xml:space="preserve">to a fixed fee arrangement for the 12 months ending </w:t>
      </w:r>
      <w:r w:rsidR="006947AC" w:rsidRPr="00A76890">
        <w:t xml:space="preserve">25 </w:t>
      </w:r>
      <w:r w:rsidRPr="00A76890">
        <w:t>February in each of 2015,</w:t>
      </w:r>
      <w:r w:rsidR="00E03571" w:rsidRPr="00A76890">
        <w:t xml:space="preserve"> </w:t>
      </w:r>
      <w:r w:rsidRPr="00A76890">
        <w:t>2016</w:t>
      </w:r>
      <w:r w:rsidR="00E03571" w:rsidRPr="00A76890">
        <w:t>,</w:t>
      </w:r>
      <w:r w:rsidRPr="00A76890">
        <w:t xml:space="preserve"> and 2017 of GBP </w:t>
      </w:r>
      <w:r w:rsidR="0081457D" w:rsidRPr="00A76890">
        <w:t xml:space="preserve">0.16 </w:t>
      </w:r>
      <w:r w:rsidR="001B04C8" w:rsidRPr="00A76890">
        <w:t>million per</w:t>
      </w:r>
      <w:r w:rsidR="0081457D" w:rsidRPr="00A76890">
        <w:t xml:space="preserve"> annum</w:t>
      </w:r>
      <w:r w:rsidRPr="00A76890">
        <w:t>.</w:t>
      </w:r>
      <w:r w:rsidR="00E65937" w:rsidRPr="00A76890">
        <w:t xml:space="preserve"> Such fixed fee is inclusive of any fees payable to any member of the Group including Elephant Capital LLP or </w:t>
      </w:r>
      <w:r w:rsidR="00F33C46" w:rsidRPr="00A76890">
        <w:t>other related</w:t>
      </w:r>
      <w:r w:rsidR="00E65937" w:rsidRPr="00A76890">
        <w:t xml:space="preserve"> parties. </w:t>
      </w:r>
      <w:r w:rsidRPr="00A76890">
        <w:t xml:space="preserve">The fixed fee will remain payable in full if the portfolio is realised before </w:t>
      </w:r>
      <w:r w:rsidR="006947AC" w:rsidRPr="00A76890">
        <w:t xml:space="preserve">25 </w:t>
      </w:r>
      <w:r w:rsidRPr="00A76890">
        <w:t xml:space="preserve">February 2017.The Investment Manager has agreed to continue its management services for no fee if the investment portfolio has not been realised by </w:t>
      </w:r>
      <w:r w:rsidR="006947AC" w:rsidRPr="00A76890">
        <w:t xml:space="preserve">25 </w:t>
      </w:r>
      <w:r w:rsidRPr="00A76890">
        <w:t xml:space="preserve">February 2017. Other arrangements are not significantly changed, </w:t>
      </w:r>
      <w:r w:rsidR="004C63C9" w:rsidRPr="00A76890">
        <w:t>although expenses recoverable by the Investment Manager have been clarified.</w:t>
      </w:r>
      <w:r w:rsidRPr="00A76890">
        <w:t xml:space="preserve"> </w:t>
      </w:r>
    </w:p>
    <w:p w:rsidR="00A73C43" w:rsidRPr="00A76890" w:rsidRDefault="00A73C43" w:rsidP="00704CC0">
      <w:pPr>
        <w:pStyle w:val="Normal2-Para"/>
        <w:tabs>
          <w:tab w:val="left" w:pos="567"/>
          <w:tab w:val="left" w:pos="1134"/>
          <w:tab w:val="left" w:pos="1701"/>
          <w:tab w:val="left" w:pos="2268"/>
        </w:tabs>
        <w:spacing w:line="240" w:lineRule="auto"/>
      </w:pPr>
      <w:r w:rsidRPr="00A76890">
        <w:t xml:space="preserve">In addition the Investment Manager's </w:t>
      </w:r>
      <w:r w:rsidR="00435DA1" w:rsidRPr="00A76890">
        <w:t>G</w:t>
      </w:r>
      <w:r w:rsidRPr="00A76890">
        <w:t>roup entitlement to receive carried interests in investments has been terminated.</w:t>
      </w:r>
    </w:p>
    <w:p w:rsidR="00A73C43" w:rsidRPr="00A76890" w:rsidRDefault="00A73C43" w:rsidP="00704CC0">
      <w:pPr>
        <w:pStyle w:val="Heading2-Para"/>
      </w:pPr>
      <w:r w:rsidRPr="00A76890">
        <w:lastRenderedPageBreak/>
        <w:t xml:space="preserve">Strategy </w:t>
      </w:r>
    </w:p>
    <w:p w:rsidR="00A73C43" w:rsidRPr="00A76890" w:rsidRDefault="00475D67" w:rsidP="00704CC0">
      <w:pPr>
        <w:pStyle w:val="Normal2-Para"/>
        <w:keepNext/>
        <w:keepLines/>
        <w:tabs>
          <w:tab w:val="left" w:pos="567"/>
          <w:tab w:val="left" w:pos="1134"/>
          <w:tab w:val="left" w:pos="1701"/>
          <w:tab w:val="left" w:pos="2268"/>
        </w:tabs>
        <w:spacing w:line="240" w:lineRule="auto"/>
      </w:pPr>
      <w:r w:rsidRPr="00A76890">
        <w:t>Our strategy remains unchanged. We intend to dispose of our remaining portfolio as soon as possible without conducting a fire sale. We plan the next return of capital in the coming months once the disposal of our listed portfolio is complete.</w:t>
      </w:r>
    </w:p>
    <w:p w:rsidR="00A73C43" w:rsidRPr="004E087F" w:rsidRDefault="00A73C43" w:rsidP="00704CC0">
      <w:pPr>
        <w:pStyle w:val="Normal2-Para"/>
        <w:tabs>
          <w:tab w:val="left" w:pos="567"/>
          <w:tab w:val="left" w:pos="1134"/>
          <w:tab w:val="left" w:pos="1701"/>
          <w:tab w:val="left" w:pos="2268"/>
        </w:tabs>
        <w:spacing w:before="240" w:line="240" w:lineRule="auto"/>
        <w:jc w:val="left"/>
        <w:rPr>
          <w:b/>
        </w:rPr>
      </w:pPr>
      <w:r w:rsidRPr="004E087F">
        <w:rPr>
          <w:b/>
        </w:rPr>
        <w:t>Vikram Lall</w:t>
      </w:r>
      <w:r w:rsidR="00B8249C" w:rsidRPr="004E087F">
        <w:rPr>
          <w:b/>
        </w:rPr>
        <w:br/>
      </w:r>
      <w:r w:rsidR="006947AC" w:rsidRPr="004E087F">
        <w:rPr>
          <w:b/>
        </w:rPr>
        <w:t>26</w:t>
      </w:r>
      <w:r w:rsidRPr="004E087F">
        <w:rPr>
          <w:b/>
        </w:rPr>
        <w:t xml:space="preserve"> </w:t>
      </w:r>
      <w:r w:rsidR="00AF1128" w:rsidRPr="004E087F">
        <w:rPr>
          <w:b/>
        </w:rPr>
        <w:t>February 2014</w:t>
      </w:r>
    </w:p>
    <w:p w:rsidR="00F35970" w:rsidRPr="00704CC0" w:rsidRDefault="00F35970" w:rsidP="00704CC0">
      <w:pPr>
        <w:pStyle w:val="Heading2-Para"/>
        <w:spacing w:before="720"/>
        <w:rPr>
          <w:sz w:val="24"/>
          <w:szCs w:val="24"/>
        </w:rPr>
      </w:pPr>
      <w:bookmarkStart w:id="3" w:name="_Toc317955094"/>
      <w:r w:rsidRPr="00704CC0">
        <w:rPr>
          <w:sz w:val="24"/>
          <w:szCs w:val="24"/>
        </w:rPr>
        <w:t>Investment Manager’s Review</w:t>
      </w:r>
      <w:bookmarkEnd w:id="3"/>
    </w:p>
    <w:p w:rsidR="00F35970" w:rsidRPr="00A76890" w:rsidRDefault="00F35970" w:rsidP="00704CC0">
      <w:pPr>
        <w:pStyle w:val="Heading2-Para"/>
      </w:pPr>
      <w:r w:rsidRPr="00A76890">
        <w:t>Introduction</w:t>
      </w:r>
    </w:p>
    <w:p w:rsidR="00F35970" w:rsidRPr="00A76890" w:rsidRDefault="00F35970" w:rsidP="00704CC0">
      <w:pPr>
        <w:pStyle w:val="Normal2-Para"/>
        <w:tabs>
          <w:tab w:val="left" w:pos="567"/>
          <w:tab w:val="left" w:pos="1134"/>
          <w:tab w:val="left" w:pos="1701"/>
          <w:tab w:val="left" w:pos="2268"/>
        </w:tabs>
        <w:spacing w:line="240" w:lineRule="auto"/>
      </w:pPr>
      <w:r w:rsidRPr="00A76890">
        <w:t>Elephant Capital plc (“Elephant Capital” or the “Company”) holds its investments through its Mauritian based special purpose vehicles (</w:t>
      </w:r>
      <w:r w:rsidR="0094532E" w:rsidRPr="00A76890">
        <w:t>“</w:t>
      </w:r>
      <w:r w:rsidRPr="00A76890">
        <w:t>SPVs</w:t>
      </w:r>
      <w:r w:rsidR="0094532E" w:rsidRPr="00A76890">
        <w:t>”</w:t>
      </w:r>
      <w:r w:rsidRPr="00A76890">
        <w:t xml:space="preserve">) Tusk Investments 1 Limited and Tusk Investments 2 Limited (individually the “SPV”, collectively the “SPVs”) into businesses that are established or operating primarily in India. </w:t>
      </w:r>
    </w:p>
    <w:p w:rsidR="00F35970" w:rsidRPr="00A76890" w:rsidRDefault="00F35970" w:rsidP="00704CC0">
      <w:pPr>
        <w:pStyle w:val="Normal2-Para"/>
        <w:tabs>
          <w:tab w:val="left" w:pos="567"/>
          <w:tab w:val="left" w:pos="1134"/>
          <w:tab w:val="left" w:pos="1701"/>
          <w:tab w:val="left" w:pos="2268"/>
        </w:tabs>
        <w:spacing w:line="240" w:lineRule="auto"/>
      </w:pPr>
      <w:r w:rsidRPr="00A76890">
        <w:t>The SPVs are managed by Elephant Capital LLP (the “Investment Manager” or “Elephant”), a limited liability partnership which in turn is advised by Elephant India Advisors Private Limited (the “Advisor”), of which the senior executives in India are all members.</w:t>
      </w:r>
    </w:p>
    <w:p w:rsidR="00F35970" w:rsidRPr="00A76890" w:rsidRDefault="00F35970" w:rsidP="00704CC0">
      <w:pPr>
        <w:pStyle w:val="Heading2-Para"/>
      </w:pPr>
      <w:r w:rsidRPr="00A76890">
        <w:t>Investment strategy</w:t>
      </w:r>
    </w:p>
    <w:p w:rsidR="00F35970" w:rsidRPr="00A76890" w:rsidRDefault="00F35970" w:rsidP="00704CC0">
      <w:pPr>
        <w:pStyle w:val="Normal2-Para"/>
        <w:tabs>
          <w:tab w:val="left" w:pos="567"/>
          <w:tab w:val="left" w:pos="1134"/>
          <w:tab w:val="left" w:pos="1701"/>
          <w:tab w:val="left" w:pos="2268"/>
        </w:tabs>
        <w:spacing w:line="240" w:lineRule="auto"/>
      </w:pPr>
      <w:r w:rsidRPr="00A76890">
        <w:t>The Company was established to execute a value based strategy in both public and private businesses. As the Company has previously announced</w:t>
      </w:r>
      <w:r w:rsidR="00485A59" w:rsidRPr="00A76890">
        <w:t>,</w:t>
      </w:r>
      <w:r w:rsidRPr="00A76890">
        <w:t xml:space="preserve"> Elephant Capital will no longer be making any new investments and has adopted a policy of managing and realising its current portfolio and actively looking to return cash to its shareholders. </w:t>
      </w:r>
    </w:p>
    <w:p w:rsidR="00F35970" w:rsidRPr="00A76890" w:rsidRDefault="00F35970" w:rsidP="00704CC0">
      <w:pPr>
        <w:pStyle w:val="Normal2-Para"/>
        <w:tabs>
          <w:tab w:val="left" w:pos="567"/>
          <w:tab w:val="left" w:pos="1134"/>
          <w:tab w:val="left" w:pos="1701"/>
          <w:tab w:val="left" w:pos="2268"/>
        </w:tabs>
        <w:spacing w:line="240" w:lineRule="auto"/>
      </w:pPr>
      <w:r w:rsidRPr="00A76890">
        <w:t xml:space="preserve">In April 2013, the Company successfully executed a tender offer amounting to GBP 9 million and will continue to explore the best options in which to distribute capital to its shareholders. </w:t>
      </w:r>
    </w:p>
    <w:p w:rsidR="00F35970" w:rsidRPr="00A76890" w:rsidRDefault="00F35970" w:rsidP="00704CC0">
      <w:pPr>
        <w:pStyle w:val="Heading2-Para"/>
      </w:pPr>
      <w:r w:rsidRPr="00A76890">
        <w:t>Investment activity</w:t>
      </w:r>
    </w:p>
    <w:p w:rsidR="00F35970" w:rsidRPr="00A76890" w:rsidRDefault="00F35970" w:rsidP="00704CC0">
      <w:pPr>
        <w:pStyle w:val="Normal2-Para"/>
        <w:tabs>
          <w:tab w:val="left" w:pos="567"/>
          <w:tab w:val="left" w:pos="1134"/>
          <w:tab w:val="left" w:pos="1701"/>
          <w:tab w:val="left" w:pos="2268"/>
        </w:tabs>
        <w:spacing w:line="240" w:lineRule="auto"/>
      </w:pPr>
      <w:r w:rsidRPr="00A76890">
        <w:t xml:space="preserve">During the six month period to 31 August 2013, the Investment Manager made no new investments. The focus was on managing the existing portfolio and trying to create liquidity to return cash to the shareholders. </w:t>
      </w:r>
    </w:p>
    <w:p w:rsidR="00F35970" w:rsidRPr="00A76890" w:rsidRDefault="00F35970" w:rsidP="00704CC0">
      <w:pPr>
        <w:pStyle w:val="Normal2-Para"/>
        <w:tabs>
          <w:tab w:val="left" w:pos="567"/>
          <w:tab w:val="left" w:pos="1134"/>
          <w:tab w:val="left" w:pos="1701"/>
          <w:tab w:val="left" w:pos="2268"/>
        </w:tabs>
        <w:spacing w:line="240" w:lineRule="auto"/>
      </w:pPr>
      <w:r w:rsidRPr="00A76890">
        <w:t>Post year end, in October 2013, Elephant Capital sold circa 65% of its holding in Mahindra CIE Automotive Limited (previously known as Mahindra Forgings  Limited) (“MCAL”) for GBP 1.42 million through an open offer. The sale of MCAL resulted in a realised loss of GBP 1.71 million (being the excess of original cost of GBP 3.13 million over the sale proceeds of GBP</w:t>
      </w:r>
      <w:r w:rsidR="009B33F5" w:rsidRPr="00A76890">
        <w:t xml:space="preserve"> </w:t>
      </w:r>
      <w:r w:rsidRPr="00A76890">
        <w:t xml:space="preserve">1.42 million). </w:t>
      </w:r>
    </w:p>
    <w:p w:rsidR="00F35970" w:rsidRPr="00A76890" w:rsidRDefault="00F35970" w:rsidP="00704CC0">
      <w:pPr>
        <w:pStyle w:val="Normal2-Para"/>
        <w:tabs>
          <w:tab w:val="left" w:pos="567"/>
          <w:tab w:val="left" w:pos="1134"/>
          <w:tab w:val="left" w:pos="1701"/>
          <w:tab w:val="left" w:pos="2268"/>
        </w:tabs>
        <w:spacing w:line="240" w:lineRule="auto"/>
      </w:pPr>
      <w:r w:rsidRPr="00A76890">
        <w:t>The Investment Manager continues to focus on helping GCV pursue it</w:t>
      </w:r>
      <w:r w:rsidR="00576452" w:rsidRPr="00A76890">
        <w:t>s</w:t>
      </w:r>
      <w:r w:rsidRPr="00A76890">
        <w:t xml:space="preserve"> claims for the wrongful termination of its agreement by the Board of Control for Cricket in India (</w:t>
      </w:r>
      <w:r w:rsidR="0094532E" w:rsidRPr="00A76890">
        <w:t>“</w:t>
      </w:r>
      <w:r w:rsidRPr="00A76890">
        <w:t>BCCI</w:t>
      </w:r>
      <w:r w:rsidR="0094532E" w:rsidRPr="00A76890">
        <w:t>”</w:t>
      </w:r>
      <w:r w:rsidRPr="00A76890">
        <w:t>), while in parallel negotiating an exit for Elephant Capital from this investment.</w:t>
      </w:r>
    </w:p>
    <w:p w:rsidR="00F35970" w:rsidRPr="00A76890" w:rsidRDefault="00F35970" w:rsidP="00704CC0">
      <w:pPr>
        <w:pStyle w:val="Normal2-Para"/>
        <w:tabs>
          <w:tab w:val="left" w:pos="567"/>
          <w:tab w:val="left" w:pos="1134"/>
          <w:tab w:val="left" w:pos="1701"/>
          <w:tab w:val="left" w:pos="2268"/>
        </w:tabs>
        <w:spacing w:line="240" w:lineRule="auto"/>
      </w:pPr>
      <w:r w:rsidRPr="00A76890">
        <w:t xml:space="preserve">Given this activity Elephant Capital now holds only </w:t>
      </w:r>
      <w:r w:rsidR="00891175" w:rsidRPr="00A76890">
        <w:t>six</w:t>
      </w:r>
      <w:r w:rsidRPr="00A76890">
        <w:t xml:space="preserve"> investments, two listed; </w:t>
      </w:r>
      <w:r w:rsidR="00576452" w:rsidRPr="00A76890">
        <w:t>MCAL</w:t>
      </w:r>
      <w:r w:rsidRPr="00A76890">
        <w:t xml:space="preserve"> and Nitco, and </w:t>
      </w:r>
      <w:r w:rsidR="00891175" w:rsidRPr="00A76890">
        <w:t>four</w:t>
      </w:r>
      <w:r w:rsidRPr="00A76890">
        <w:t xml:space="preserve"> unlisted, Air Works, ACK</w:t>
      </w:r>
      <w:r w:rsidR="00E03571" w:rsidRPr="00A76890">
        <w:t>, GCV</w:t>
      </w:r>
      <w:r w:rsidR="00891175" w:rsidRPr="00A76890">
        <w:t xml:space="preserve"> and Obopay</w:t>
      </w:r>
      <w:r w:rsidR="009B33F5" w:rsidRPr="00A76890">
        <w:t>, the last of which has no</w:t>
      </w:r>
      <w:r w:rsidR="00891175" w:rsidRPr="00A76890">
        <w:t xml:space="preserve"> value</w:t>
      </w:r>
      <w:r w:rsidRPr="00A76890">
        <w:t>. The Investment Manager is looking for ways to realise the remaining listed investments and GCV in the shortest time frame possible and will then focus on finding ways to realise Air Works and ACK over the medium term as these businesses mature. No further investments are envisaged</w:t>
      </w:r>
      <w:r w:rsidR="000B583F" w:rsidRPr="00A76890">
        <w:t>.</w:t>
      </w:r>
    </w:p>
    <w:p w:rsidR="00E03571" w:rsidRPr="00A76890" w:rsidRDefault="00F234F1" w:rsidP="00704CC0">
      <w:pPr>
        <w:pStyle w:val="Normal2-Para"/>
        <w:tabs>
          <w:tab w:val="left" w:pos="567"/>
          <w:tab w:val="left" w:pos="1134"/>
          <w:tab w:val="left" w:pos="1701"/>
          <w:tab w:val="left" w:pos="2268"/>
        </w:tabs>
        <w:spacing w:line="240" w:lineRule="auto"/>
      </w:pPr>
      <w:r w:rsidRPr="00A76890">
        <w:t>T</w:t>
      </w:r>
      <w:r w:rsidR="00E03571" w:rsidRPr="00A76890">
        <w:t xml:space="preserve">he Investment Manager agreed with the Board, to change its management fee to a fixed fee arrangement for the 12 months ending </w:t>
      </w:r>
      <w:r w:rsidR="006947AC" w:rsidRPr="00A76890">
        <w:t xml:space="preserve">25 </w:t>
      </w:r>
      <w:r w:rsidR="00E03571" w:rsidRPr="00A76890">
        <w:t xml:space="preserve">February in each of 2015, 2016, and 2017 of GBP </w:t>
      </w:r>
      <w:r w:rsidR="00E65937" w:rsidRPr="00A76890">
        <w:t xml:space="preserve">0.16 million  </w:t>
      </w:r>
      <w:r w:rsidR="00E959FF" w:rsidRPr="00A76890">
        <w:t xml:space="preserve"> per </w:t>
      </w:r>
      <w:r w:rsidR="00B73E33" w:rsidRPr="00A76890">
        <w:t>annum</w:t>
      </w:r>
      <w:r w:rsidR="00F33C46" w:rsidRPr="00A76890">
        <w:t>.</w:t>
      </w:r>
      <w:r w:rsidR="00E65937" w:rsidRPr="00A76890">
        <w:t xml:space="preserve"> </w:t>
      </w:r>
      <w:r w:rsidR="00F33C46" w:rsidRPr="00A76890">
        <w:t>S</w:t>
      </w:r>
      <w:r w:rsidR="00E65937" w:rsidRPr="00A76890">
        <w:t>uch fixed fee is inclusive of any fee</w:t>
      </w:r>
      <w:r w:rsidR="00F33C46" w:rsidRPr="00A76890">
        <w:t>s</w:t>
      </w:r>
      <w:r w:rsidR="00E65937" w:rsidRPr="00A76890">
        <w:t xml:space="preserve"> payable to any member </w:t>
      </w:r>
      <w:r w:rsidR="007813F0" w:rsidRPr="00A76890">
        <w:t>of the Group including Elephant Capital LLP or other related parties</w:t>
      </w:r>
      <w:r w:rsidR="00B73E33" w:rsidRPr="00A76890">
        <w:t xml:space="preserve">. </w:t>
      </w:r>
      <w:r w:rsidR="00E03571" w:rsidRPr="00A76890">
        <w:t xml:space="preserve">The fixed fee will remain payable in full if the portfolio is realised before </w:t>
      </w:r>
      <w:r w:rsidR="00EF5A34" w:rsidRPr="00A76890">
        <w:t xml:space="preserve">25 </w:t>
      </w:r>
      <w:r w:rsidR="00E03571" w:rsidRPr="00A76890">
        <w:t xml:space="preserve">February 2017. The Investment Manager has agreed to continue its management services for no fee if the investment portfolio has not been realised by February 2017. </w:t>
      </w:r>
    </w:p>
    <w:p w:rsidR="00F35970" w:rsidRPr="00A76890" w:rsidRDefault="00F35970" w:rsidP="00704CC0">
      <w:pPr>
        <w:pStyle w:val="Heading2-Para"/>
      </w:pPr>
      <w:r w:rsidRPr="00A76890">
        <w:lastRenderedPageBreak/>
        <w:t>Portfolio Review</w:t>
      </w:r>
    </w:p>
    <w:p w:rsidR="00F35970" w:rsidRPr="00A76890" w:rsidRDefault="00F35970" w:rsidP="00704CC0">
      <w:pPr>
        <w:pStyle w:val="Heading3-Sub-para"/>
      </w:pPr>
      <w:r w:rsidRPr="00A76890">
        <w:t>Air Works India (Engineering) Private Limited</w:t>
      </w:r>
    </w:p>
    <w:p w:rsidR="00F35970" w:rsidRPr="00A76890" w:rsidRDefault="00F35970" w:rsidP="00704CC0">
      <w:pPr>
        <w:pStyle w:val="Normal3-Sub-para"/>
        <w:tabs>
          <w:tab w:val="left" w:pos="567"/>
          <w:tab w:val="left" w:pos="1134"/>
          <w:tab w:val="left" w:pos="1701"/>
          <w:tab w:val="left" w:pos="2268"/>
        </w:tabs>
        <w:spacing w:line="240" w:lineRule="auto"/>
      </w:pPr>
      <w:r w:rsidRPr="00A76890">
        <w:t xml:space="preserve">Air Works is a leading independent provider of aviation MRO (maintenance, repair and overhaul) services in India. The MRO market in India has experienced rapid growth in recent years, with increasing demand for new aircraft driven by demand from both the commercial and the business aviation sectors.  </w:t>
      </w:r>
    </w:p>
    <w:p w:rsidR="00F35970" w:rsidRPr="00A76890" w:rsidRDefault="00F35970" w:rsidP="00704CC0">
      <w:pPr>
        <w:pStyle w:val="Normal3-Sub-para"/>
        <w:tabs>
          <w:tab w:val="left" w:pos="567"/>
          <w:tab w:val="left" w:pos="1134"/>
          <w:tab w:val="left" w:pos="1701"/>
          <w:tab w:val="left" w:pos="2268"/>
        </w:tabs>
        <w:spacing w:line="240" w:lineRule="auto"/>
      </w:pPr>
      <w:r w:rsidRPr="00A76890">
        <w:t>Founded in 1951, Air Works has successfully transformed itself from a family run business focused on providing maintenance services to business aircraft into a professionally managed organisation providing a full suite of services to business as well as commercial aircraft in India, the UK</w:t>
      </w:r>
      <w:r w:rsidR="00807361" w:rsidRPr="00A76890">
        <w:t>, France</w:t>
      </w:r>
      <w:r w:rsidRPr="00A76890">
        <w:t xml:space="preserve"> and the Middle East. The company has a first mover advantage in the domestic market and has built up strong relationships with aircraft OEM’s (original equipment manufacturers), including Gulfstream, Bombardier, Honeywell and </w:t>
      </w:r>
      <w:proofErr w:type="spellStart"/>
      <w:r w:rsidRPr="00A76890">
        <w:t>AgustaWestland</w:t>
      </w:r>
      <w:proofErr w:type="spellEnd"/>
      <w:r w:rsidRPr="00A76890">
        <w:t>.</w:t>
      </w:r>
    </w:p>
    <w:p w:rsidR="00F35970" w:rsidRPr="00A76890" w:rsidRDefault="00F35970" w:rsidP="00704CC0">
      <w:pPr>
        <w:pStyle w:val="Normal3-Sub-para"/>
        <w:tabs>
          <w:tab w:val="left" w:pos="567"/>
          <w:tab w:val="left" w:pos="1134"/>
          <w:tab w:val="left" w:pos="1701"/>
          <w:tab w:val="left" w:pos="2268"/>
        </w:tabs>
        <w:spacing w:line="240" w:lineRule="auto"/>
      </w:pPr>
      <w:r w:rsidRPr="00A76890">
        <w:t xml:space="preserve">The company has been performing satisfactorily. During the reporting period Air Works announced that it had raised further capital </w:t>
      </w:r>
      <w:r w:rsidR="005C2166" w:rsidRPr="00A76890">
        <w:t>through a right</w:t>
      </w:r>
      <w:r w:rsidR="003A2770" w:rsidRPr="00A76890">
        <w:t>s</w:t>
      </w:r>
      <w:r w:rsidR="005C2166" w:rsidRPr="00A76890">
        <w:t xml:space="preserve"> issue </w:t>
      </w:r>
      <w:r w:rsidRPr="00A76890">
        <w:t>at the same valuation as the last round of financing</w:t>
      </w:r>
      <w:r w:rsidR="009B33F5" w:rsidRPr="00A76890">
        <w:t xml:space="preserve"> and</w:t>
      </w:r>
      <w:r w:rsidRPr="00A76890">
        <w:t xml:space="preserve"> the funds have been used to finance a further acquisition and pay down some debt. </w:t>
      </w:r>
      <w:r w:rsidR="005C2166" w:rsidRPr="00A76890">
        <w:t xml:space="preserve">Elephant Capital </w:t>
      </w:r>
      <w:r w:rsidR="009B33F5" w:rsidRPr="00A76890">
        <w:t xml:space="preserve">did not participate in </w:t>
      </w:r>
      <w:r w:rsidR="005C2166" w:rsidRPr="00A76890">
        <w:t>the right</w:t>
      </w:r>
      <w:r w:rsidR="003A2770" w:rsidRPr="00A76890">
        <w:t>s</w:t>
      </w:r>
      <w:r w:rsidR="005C2166" w:rsidRPr="00A76890">
        <w:t xml:space="preserve"> issue. </w:t>
      </w:r>
      <w:r w:rsidRPr="00A76890">
        <w:t xml:space="preserve">Subsequent to the latest round of funding the stake of Elephant Capital has been diluted to 4.45% on a fully diluted basis. </w:t>
      </w:r>
    </w:p>
    <w:p w:rsidR="00F35970" w:rsidRPr="00A76890" w:rsidRDefault="00F35970" w:rsidP="00704CC0">
      <w:pPr>
        <w:pStyle w:val="Heading3-Sub-para"/>
        <w:rPr>
          <w:szCs w:val="22"/>
        </w:rPr>
      </w:pPr>
      <w:proofErr w:type="spellStart"/>
      <w:r w:rsidRPr="00A76890">
        <w:rPr>
          <w:szCs w:val="22"/>
        </w:rPr>
        <w:t>Amar</w:t>
      </w:r>
      <w:proofErr w:type="spellEnd"/>
      <w:r w:rsidRPr="00A76890">
        <w:rPr>
          <w:szCs w:val="22"/>
        </w:rPr>
        <w:t xml:space="preserve"> </w:t>
      </w:r>
      <w:proofErr w:type="spellStart"/>
      <w:r w:rsidRPr="00A76890">
        <w:rPr>
          <w:szCs w:val="22"/>
        </w:rPr>
        <w:t>Chitra</w:t>
      </w:r>
      <w:proofErr w:type="spellEnd"/>
      <w:r w:rsidRPr="00A76890">
        <w:rPr>
          <w:szCs w:val="22"/>
        </w:rPr>
        <w:t xml:space="preserve"> </w:t>
      </w:r>
      <w:proofErr w:type="spellStart"/>
      <w:r w:rsidRPr="00A76890">
        <w:rPr>
          <w:szCs w:val="22"/>
        </w:rPr>
        <w:t>Katha</w:t>
      </w:r>
      <w:proofErr w:type="spellEnd"/>
      <w:r w:rsidRPr="00A76890">
        <w:rPr>
          <w:szCs w:val="22"/>
        </w:rPr>
        <w:t xml:space="preserve"> Private Limited </w:t>
      </w:r>
    </w:p>
    <w:p w:rsidR="00F35970" w:rsidRPr="00A76890" w:rsidRDefault="00F35970" w:rsidP="00704CC0">
      <w:pPr>
        <w:pStyle w:val="Normal3-Sub-para"/>
        <w:tabs>
          <w:tab w:val="left" w:pos="567"/>
          <w:tab w:val="left" w:pos="1134"/>
          <w:tab w:val="left" w:pos="1701"/>
          <w:tab w:val="left" w:pos="2268"/>
        </w:tabs>
        <w:spacing w:line="240" w:lineRule="auto"/>
      </w:pPr>
      <w:r w:rsidRPr="00A76890">
        <w:t>ACK is one of the leading children’s media companies in India, with a catalogue of over 750 print and digital products and 25 major (and 50+ minor) proprietary characters with India-wide recognition. ACK’s origins are in children’s books and comics, with “</w:t>
      </w:r>
      <w:proofErr w:type="spellStart"/>
      <w:r w:rsidRPr="00A76890">
        <w:t>Amar</w:t>
      </w:r>
      <w:proofErr w:type="spellEnd"/>
      <w:r w:rsidRPr="00A76890">
        <w:t xml:space="preserve"> </w:t>
      </w:r>
      <w:proofErr w:type="spellStart"/>
      <w:r w:rsidRPr="00A76890">
        <w:t>Chitra</w:t>
      </w:r>
      <w:proofErr w:type="spellEnd"/>
      <w:r w:rsidRPr="00A76890">
        <w:t xml:space="preserve"> </w:t>
      </w:r>
      <w:proofErr w:type="spellStart"/>
      <w:r w:rsidRPr="00A76890">
        <w:t>Katha</w:t>
      </w:r>
      <w:proofErr w:type="spellEnd"/>
      <w:r w:rsidRPr="00A76890">
        <w:t xml:space="preserve">”, the number one children’s comic book series dating back to 1967. Other key brands include Tinkle, the number one English magazine for children. ACK has also entered into a licensing arrangement with National Geographic Society, US for publishing their magazines in India. </w:t>
      </w:r>
    </w:p>
    <w:p w:rsidR="00F35970" w:rsidRPr="00A76890" w:rsidRDefault="00F35970" w:rsidP="00704CC0">
      <w:pPr>
        <w:pStyle w:val="Normal3-Sub-para"/>
        <w:tabs>
          <w:tab w:val="left" w:pos="567"/>
          <w:tab w:val="left" w:pos="1134"/>
          <w:tab w:val="left" w:pos="1701"/>
          <w:tab w:val="left" w:pos="2268"/>
        </w:tabs>
        <w:spacing w:line="240" w:lineRule="auto"/>
      </w:pPr>
      <w:r w:rsidRPr="00A76890">
        <w:t xml:space="preserve">In recent years, </w:t>
      </w:r>
      <w:r w:rsidR="00674FB2" w:rsidRPr="00A76890">
        <w:t>the</w:t>
      </w:r>
      <w:r w:rsidRPr="00A76890">
        <w:t xml:space="preserve"> ACK has sought to diversify its product offering to digital media platforms including films, TV, online, mobile and other new media platforms. The </w:t>
      </w:r>
      <w:r w:rsidR="000A2ECE" w:rsidRPr="00A76890">
        <w:t>c</w:t>
      </w:r>
      <w:r w:rsidRPr="00A76890">
        <w:t>ompany’s focus areas include creating new content and merchandise and expanding e-commerce (direct to consumer and indirect channels). ACK has digiti</w:t>
      </w:r>
      <w:r w:rsidR="000A2ECE" w:rsidRPr="00A76890">
        <w:t>s</w:t>
      </w:r>
      <w:r w:rsidRPr="00A76890">
        <w:t xml:space="preserve">ed </w:t>
      </w:r>
      <w:r w:rsidR="000A2ECE" w:rsidRPr="00A76890">
        <w:t xml:space="preserve">the </w:t>
      </w:r>
      <w:r w:rsidRPr="00A76890">
        <w:t>majority of its content and the digital applications will be launched shortly. Further, e-commerce sale</w:t>
      </w:r>
      <w:r w:rsidR="000A2ECE" w:rsidRPr="00A76890">
        <w:t>s</w:t>
      </w:r>
      <w:r w:rsidRPr="00A76890">
        <w:t xml:space="preserve"> ha</w:t>
      </w:r>
      <w:r w:rsidR="000A2ECE" w:rsidRPr="00A76890">
        <w:t>ve</w:t>
      </w:r>
      <w:r w:rsidRPr="00A76890">
        <w:t xml:space="preserve"> been growing significantly and the </w:t>
      </w:r>
      <w:r w:rsidR="00E837FB" w:rsidRPr="00A76890">
        <w:t>c</w:t>
      </w:r>
      <w:r w:rsidRPr="00A76890">
        <w:t xml:space="preserve">ompany is taking various initiatives to grow this part of the business exponentially. The Investment Manager has been a proponent of focusing on the core values of the business and crafting a strategy that will allow the company to take its unique and rich library to a larger audience using a digital distribution strategy and upgrading its products to build a larger print business. The management team led by Vijay Sampath has been working hard to execute the company’s growth strategy. </w:t>
      </w:r>
    </w:p>
    <w:p w:rsidR="00F35970" w:rsidRPr="00A76890" w:rsidRDefault="00F35970" w:rsidP="00704CC0">
      <w:pPr>
        <w:pStyle w:val="Normal3-Sub-para"/>
        <w:tabs>
          <w:tab w:val="left" w:pos="567"/>
          <w:tab w:val="left" w:pos="1134"/>
          <w:tab w:val="left" w:pos="1701"/>
          <w:tab w:val="left" w:pos="2268"/>
        </w:tabs>
        <w:spacing w:line="240" w:lineRule="auto"/>
      </w:pPr>
      <w:r w:rsidRPr="00A76890">
        <w:t xml:space="preserve">Elephant Capital invested GBP 3.2 million in ACK in a primary transaction, in June 2010.  In April 2011, it announced a further investment of GBP 0.9 million in a second funding round, led by Future </w:t>
      </w:r>
      <w:r w:rsidR="0067725E" w:rsidRPr="00A76890">
        <w:t>C</w:t>
      </w:r>
      <w:r w:rsidR="005306BC" w:rsidRPr="00A76890">
        <w:t xml:space="preserve">onsumer Enterprise Limited </w:t>
      </w:r>
      <w:r w:rsidRPr="00A76890">
        <w:t>(</w:t>
      </w:r>
      <w:r w:rsidR="009802C2" w:rsidRPr="00A76890">
        <w:t>“</w:t>
      </w:r>
      <w:r w:rsidRPr="00A76890">
        <w:t>F</w:t>
      </w:r>
      <w:r w:rsidR="005306BC" w:rsidRPr="00A76890">
        <w:t>CEL</w:t>
      </w:r>
      <w:r w:rsidR="009802C2" w:rsidRPr="00A76890">
        <w:t>”</w:t>
      </w:r>
      <w:r w:rsidRPr="00A76890">
        <w:t>)</w:t>
      </w:r>
      <w:r w:rsidR="005306BC" w:rsidRPr="00A76890">
        <w:t xml:space="preserve"> (previously known as Future Ventures India Limited)</w:t>
      </w:r>
      <w:r w:rsidRPr="00A76890">
        <w:t>. Elephant Capital’s stake in ACK was 22% post this investment.  ACK subsequently bought back 70,457 of its own shares representing 15% of existing paid up capital of the company, at the purchase price F</w:t>
      </w:r>
      <w:r w:rsidR="003678BA" w:rsidRPr="00A76890">
        <w:t>CEL</w:t>
      </w:r>
      <w:r w:rsidRPr="00A76890">
        <w:t xml:space="preserve"> and Elephant Capital paid in the second round. Neither Elephant Capital nor its co-investors participated in this buy</w:t>
      </w:r>
      <w:r w:rsidR="000A2ECE" w:rsidRPr="00A76890">
        <w:t>-</w:t>
      </w:r>
      <w:r w:rsidRPr="00A76890">
        <w:t>back and hence Elephant</w:t>
      </w:r>
      <w:r w:rsidR="000A2ECE" w:rsidRPr="00A76890">
        <w:t xml:space="preserve"> Capital</w:t>
      </w:r>
      <w:r w:rsidRPr="00A76890">
        <w:t xml:space="preserve">’s shareholding in the </w:t>
      </w:r>
      <w:r w:rsidR="00807361" w:rsidRPr="00A76890">
        <w:t>business increased</w:t>
      </w:r>
      <w:r w:rsidRPr="00A76890">
        <w:t xml:space="preserve"> to 26%.</w:t>
      </w:r>
    </w:p>
    <w:p w:rsidR="00F35970" w:rsidRPr="00A76890" w:rsidRDefault="00F35970" w:rsidP="00704CC0">
      <w:pPr>
        <w:pStyle w:val="Normal3-Sub-para"/>
        <w:tabs>
          <w:tab w:val="left" w:pos="567"/>
          <w:tab w:val="left" w:pos="1134"/>
          <w:tab w:val="left" w:pos="1701"/>
          <w:tab w:val="left" w:pos="2268"/>
        </w:tabs>
        <w:spacing w:line="240" w:lineRule="auto"/>
      </w:pPr>
      <w:r w:rsidRPr="00A76890">
        <w:t xml:space="preserve">During the reporting period, ACK has announced the desire to execute </w:t>
      </w:r>
      <w:r w:rsidR="00E837FB" w:rsidRPr="00A76890">
        <w:t>a</w:t>
      </w:r>
      <w:r w:rsidRPr="00A76890">
        <w:t xml:space="preserve"> right</w:t>
      </w:r>
      <w:r w:rsidR="00E837FB" w:rsidRPr="00A76890">
        <w:t>s</w:t>
      </w:r>
      <w:r w:rsidRPr="00A76890">
        <w:t xml:space="preserve"> issue at a discounted price. Elephant Capital decline</w:t>
      </w:r>
      <w:r w:rsidR="00E837FB" w:rsidRPr="00A76890">
        <w:t>d</w:t>
      </w:r>
      <w:r w:rsidRPr="00A76890">
        <w:t xml:space="preserve"> the opportunity to invest in </w:t>
      </w:r>
      <w:r w:rsidR="00E837FB" w:rsidRPr="00A76890">
        <w:t xml:space="preserve">the </w:t>
      </w:r>
      <w:r w:rsidRPr="00A76890">
        <w:t>right</w:t>
      </w:r>
      <w:r w:rsidR="00E837FB" w:rsidRPr="00A76890">
        <w:t>s</w:t>
      </w:r>
      <w:r w:rsidRPr="00A76890">
        <w:t xml:space="preserve"> issue of ACK, because the Company is in the process of returning capital back to its shareholders.</w:t>
      </w:r>
    </w:p>
    <w:p w:rsidR="00F35970" w:rsidRPr="00A76890" w:rsidRDefault="00F35970" w:rsidP="00704CC0">
      <w:pPr>
        <w:pStyle w:val="Heading3-Sub-para"/>
      </w:pPr>
      <w:r w:rsidRPr="00A76890">
        <w:t xml:space="preserve">Global Cricket Ventures Limited, Mauritius </w:t>
      </w:r>
    </w:p>
    <w:p w:rsidR="00F35970" w:rsidRPr="00A76890" w:rsidRDefault="00F35970" w:rsidP="00704CC0">
      <w:pPr>
        <w:pStyle w:val="Normal3-Sub-para"/>
        <w:tabs>
          <w:tab w:val="left" w:pos="567"/>
          <w:tab w:val="left" w:pos="1134"/>
          <w:tab w:val="left" w:pos="1701"/>
          <w:tab w:val="left" w:pos="2268"/>
        </w:tabs>
        <w:spacing w:line="240" w:lineRule="auto"/>
      </w:pPr>
      <w:r w:rsidRPr="00A76890">
        <w:t xml:space="preserve">In November 2009, Elephant Capital announced an investment of GBP 5.95 million in a primary transaction in GCV, a cricket-focused, digital media and broadcasting company. At the time of its investment, GCV was the exclusive licensee of key internet and mobile rights to the Indian Premier League (“IPL”) and key internet rights to the Champion’s League Twenty20 (“CLT20”) cricket tournaments.  </w:t>
      </w:r>
    </w:p>
    <w:p w:rsidR="00F35970" w:rsidRPr="00A76890" w:rsidRDefault="00F35970" w:rsidP="00704CC0">
      <w:pPr>
        <w:pStyle w:val="Normal3-Sub-para"/>
        <w:tabs>
          <w:tab w:val="left" w:pos="567"/>
          <w:tab w:val="left" w:pos="1134"/>
          <w:tab w:val="left" w:pos="1701"/>
          <w:tab w:val="left" w:pos="2268"/>
        </w:tabs>
        <w:spacing w:line="240" w:lineRule="auto"/>
      </w:pPr>
      <w:r w:rsidRPr="00A76890">
        <w:t>In mid-2010, the BCCI announced that it would be rescinding its global media contracts with World Sports Group (“WSG”) from whom GCV sublicensed many of its own cricket-related rights. Further, WSG terminated GCV’s contractual rights relating to the IPL. This obviously dealt a fatal blow to the business prospects of GCV, as GCV lost its key rights as a result of this action and</w:t>
      </w:r>
      <w:r w:rsidR="006A7692" w:rsidRPr="00A76890">
        <w:t>,</w:t>
      </w:r>
      <w:r w:rsidRPr="00A76890">
        <w:t xml:space="preserve"> ahead of the </w:t>
      </w:r>
      <w:r w:rsidRPr="00A76890">
        <w:lastRenderedPageBreak/>
        <w:t>fourth IPL season, these rights were re</w:t>
      </w:r>
      <w:r w:rsidR="007E1B90" w:rsidRPr="00A76890">
        <w:t xml:space="preserve"> </w:t>
      </w:r>
      <w:r w:rsidRPr="00A76890">
        <w:t>awarded to other parties. As a result of WSG’s termination, GCV entered into active discussions to settle liabilities towards its own sub-licensees and has made significant progress on such settlements.</w:t>
      </w:r>
    </w:p>
    <w:p w:rsidR="00F35970" w:rsidRPr="00A76890" w:rsidRDefault="00F35970" w:rsidP="00704CC0">
      <w:pPr>
        <w:pStyle w:val="Normal3-Sub-para"/>
        <w:tabs>
          <w:tab w:val="left" w:pos="567"/>
          <w:tab w:val="left" w:pos="1134"/>
          <w:tab w:val="left" w:pos="1701"/>
          <w:tab w:val="left" w:pos="2268"/>
        </w:tabs>
        <w:spacing w:line="240" w:lineRule="auto"/>
      </w:pPr>
      <w:r w:rsidRPr="00A76890">
        <w:t xml:space="preserve">GCV views BCCI’s termination of its contractual rights to be wrongful and has commenced an arbitration process with the BCCI in order to reach a resolution of the current situation. </w:t>
      </w:r>
    </w:p>
    <w:p w:rsidR="00F35970" w:rsidRPr="00A76890" w:rsidRDefault="00F35970" w:rsidP="00704CC0">
      <w:pPr>
        <w:pStyle w:val="Normal3-Sub-para"/>
        <w:tabs>
          <w:tab w:val="left" w:pos="567"/>
          <w:tab w:val="left" w:pos="1134"/>
          <w:tab w:val="left" w:pos="1701"/>
          <w:tab w:val="left" w:pos="2268"/>
        </w:tabs>
        <w:spacing w:line="240" w:lineRule="auto"/>
      </w:pPr>
      <w:r w:rsidRPr="00A76890">
        <w:t>The investment has been valued at GBP 0.58 million based on the Investment Manager’s best estimate of the net asset value of GCV</w:t>
      </w:r>
      <w:r w:rsidR="006A7692" w:rsidRPr="00A76890">
        <w:t xml:space="preserve"> </w:t>
      </w:r>
      <w:r w:rsidRPr="00A76890">
        <w:t>attributable to the Company’s shareholding in GCV. The Investment Manager has initiated discussions with the other shareholders in the business to exit its shareholding and the Investment Manager is keen to negotiate a resolution to the matter as soon as possible.</w:t>
      </w:r>
    </w:p>
    <w:p w:rsidR="00F35970" w:rsidRPr="00A76890" w:rsidRDefault="00F35970" w:rsidP="00704CC0">
      <w:pPr>
        <w:pStyle w:val="Heading3-Sub-para"/>
      </w:pPr>
      <w:r w:rsidRPr="00A76890">
        <w:t>Mahindra CIE Automotive Limited (Previously known as Mahindra Forgings Limited)</w:t>
      </w:r>
    </w:p>
    <w:p w:rsidR="00F35970" w:rsidRPr="00A76890" w:rsidRDefault="006A7692" w:rsidP="00704CC0">
      <w:pPr>
        <w:pStyle w:val="Normal3-Sub-para"/>
        <w:tabs>
          <w:tab w:val="left" w:pos="567"/>
          <w:tab w:val="left" w:pos="1134"/>
          <w:tab w:val="left" w:pos="1701"/>
          <w:tab w:val="left" w:pos="2268"/>
        </w:tabs>
        <w:spacing w:line="240" w:lineRule="auto"/>
      </w:pPr>
      <w:r w:rsidRPr="00A76890">
        <w:t>In October 2013</w:t>
      </w:r>
      <w:r w:rsidR="00F35970" w:rsidRPr="00A76890">
        <w:t xml:space="preserve"> </w:t>
      </w:r>
      <w:proofErr w:type="spellStart"/>
      <w:r w:rsidR="00F35970" w:rsidRPr="00A76890">
        <w:t>Participaciones</w:t>
      </w:r>
      <w:proofErr w:type="spellEnd"/>
      <w:r w:rsidR="00F35970" w:rsidRPr="00A76890">
        <w:t xml:space="preserve"> </w:t>
      </w:r>
      <w:proofErr w:type="spellStart"/>
      <w:r w:rsidR="00F35970" w:rsidRPr="00A76890">
        <w:t>Internacionales</w:t>
      </w:r>
      <w:proofErr w:type="spellEnd"/>
      <w:r w:rsidR="00F35970" w:rsidRPr="00A76890">
        <w:t xml:space="preserve"> </w:t>
      </w:r>
      <w:proofErr w:type="spellStart"/>
      <w:r w:rsidR="00F35970" w:rsidRPr="00A76890">
        <w:t>Autometal</w:t>
      </w:r>
      <w:proofErr w:type="spellEnd"/>
      <w:r w:rsidR="00F35970" w:rsidRPr="00A76890">
        <w:t xml:space="preserve"> Dos, S.L. (the "Acquirer"), a private limited company incorporated under the laws of Spain</w:t>
      </w:r>
      <w:r w:rsidR="002A5CF2" w:rsidRPr="00A76890">
        <w:t>,</w:t>
      </w:r>
      <w:r w:rsidR="00F35970" w:rsidRPr="00A76890">
        <w:t xml:space="preserve"> and persons acting in concert with the Acquirer to acquired 77.50% of </w:t>
      </w:r>
      <w:r w:rsidR="00E837FB" w:rsidRPr="00A76890">
        <w:t xml:space="preserve">the </w:t>
      </w:r>
      <w:r w:rsidR="00F35970" w:rsidRPr="00A76890">
        <w:t>fully diluted equity share capital of MC</w:t>
      </w:r>
      <w:r w:rsidR="00E837FB" w:rsidRPr="00A76890">
        <w:t>A</w:t>
      </w:r>
      <w:r w:rsidR="00F35970" w:rsidRPr="00A76890">
        <w:t>L by way of agreements and an open offer. MC</w:t>
      </w:r>
      <w:r w:rsidR="00E837FB" w:rsidRPr="00A76890">
        <w:t>A</w:t>
      </w:r>
      <w:r w:rsidR="00F35970" w:rsidRPr="00A76890">
        <w:t>L is focused on manufacturing forging components for the commercial vehicle market in Europe and in India and is the leading manufacturer of crankshaft and stub axles for Indian cars, multi-utility vehicles and tractors. India has a very strong track record in manufacturing high value and critical auto-components for the world market and a series of acquisitions left MC</w:t>
      </w:r>
      <w:r w:rsidR="00E837FB" w:rsidRPr="00A76890">
        <w:t>A</w:t>
      </w:r>
      <w:r w:rsidR="00F35970" w:rsidRPr="00A76890">
        <w:t xml:space="preserve">L very well placed to compete in this space in Europe.  </w:t>
      </w:r>
    </w:p>
    <w:p w:rsidR="00F35970" w:rsidRPr="00A76890" w:rsidRDefault="002A5CF2" w:rsidP="00704CC0">
      <w:pPr>
        <w:pStyle w:val="Normal3-Sub-para"/>
        <w:tabs>
          <w:tab w:val="left" w:pos="567"/>
          <w:tab w:val="left" w:pos="1134"/>
          <w:tab w:val="left" w:pos="1701"/>
          <w:tab w:val="left" w:pos="2268"/>
        </w:tabs>
        <w:spacing w:line="240" w:lineRule="auto"/>
        <w:rPr>
          <w:b/>
        </w:rPr>
      </w:pPr>
      <w:r w:rsidRPr="00A76890">
        <w:t>T</w:t>
      </w:r>
      <w:r w:rsidR="00E837FB" w:rsidRPr="00A76890">
        <w:t xml:space="preserve">he </w:t>
      </w:r>
      <w:r w:rsidR="00F35970" w:rsidRPr="00A76890">
        <w:t xml:space="preserve">Company through its subsidiaries sold 1.74 million </w:t>
      </w:r>
      <w:r w:rsidR="00E837FB" w:rsidRPr="00A76890">
        <w:t>MCAL</w:t>
      </w:r>
      <w:r w:rsidR="00F35970" w:rsidRPr="00A76890">
        <w:t xml:space="preserve"> shares, circa 65% of its holdings</w:t>
      </w:r>
      <w:r w:rsidRPr="00A76890">
        <w:t>,</w:t>
      </w:r>
      <w:r w:rsidR="00F35970" w:rsidRPr="00A76890">
        <w:t xml:space="preserve"> in </w:t>
      </w:r>
      <w:proofErr w:type="gramStart"/>
      <w:r w:rsidRPr="00A76890">
        <w:t xml:space="preserve">the </w:t>
      </w:r>
      <w:r w:rsidR="00F35970" w:rsidRPr="00A76890">
        <w:t xml:space="preserve"> open</w:t>
      </w:r>
      <w:proofErr w:type="gramEnd"/>
      <w:r w:rsidR="00F35970" w:rsidRPr="00A76890">
        <w:t xml:space="preserve"> offer for a consideration of GBP 1.42 million and its residual holding is c</w:t>
      </w:r>
      <w:r w:rsidR="002A6DFC" w:rsidRPr="00A76890">
        <w:t xml:space="preserve">irca </w:t>
      </w:r>
      <w:r w:rsidR="00F35970" w:rsidRPr="00A76890">
        <w:t xml:space="preserve">1% of the ownership of the company. </w:t>
      </w:r>
    </w:p>
    <w:p w:rsidR="00F35970" w:rsidRPr="00A76890" w:rsidRDefault="00F35970" w:rsidP="00704CC0">
      <w:pPr>
        <w:pStyle w:val="Heading3-Sub-para"/>
      </w:pPr>
      <w:r w:rsidRPr="00A76890">
        <w:t>Nitco Limited</w:t>
      </w:r>
    </w:p>
    <w:p w:rsidR="00F35970" w:rsidRPr="00A76890" w:rsidRDefault="00F35970" w:rsidP="00704CC0">
      <w:pPr>
        <w:pStyle w:val="Normal3-Sub-para"/>
        <w:tabs>
          <w:tab w:val="left" w:pos="567"/>
          <w:tab w:val="left" w:pos="1134"/>
          <w:tab w:val="left" w:pos="1701"/>
          <w:tab w:val="left" w:pos="2268"/>
        </w:tabs>
        <w:spacing w:line="240" w:lineRule="auto"/>
      </w:pPr>
      <w:r w:rsidRPr="00A76890">
        <w:t xml:space="preserve">Nitco is one of the largest manufacturers of flooring tiles in India. It has a direct interest in the real estate sector through a wholly-owned subsidiary which develops residential and commercial property assets in Maharashtra. Elephant Capital became interested in the company because it wanted to participate in the significant real estate growth in India and believed that Nitco offered a strong play in the sector.  </w:t>
      </w:r>
    </w:p>
    <w:p w:rsidR="00F35970" w:rsidRPr="00A76890" w:rsidRDefault="00F35970" w:rsidP="00704CC0">
      <w:pPr>
        <w:pStyle w:val="Normal3-Sub-para"/>
        <w:tabs>
          <w:tab w:val="left" w:pos="567"/>
          <w:tab w:val="left" w:pos="1134"/>
          <w:tab w:val="left" w:pos="1701"/>
          <w:tab w:val="left" w:pos="2268"/>
        </w:tabs>
        <w:spacing w:line="240" w:lineRule="auto"/>
      </w:pPr>
      <w:r w:rsidRPr="00A76890">
        <w:t>However, the environment changed dramatically post Elephant Capital’s investment in 2007, with the credit crisis ushering in an unprecedented decline in global property markets. The sector has yet to regain its earlier buoyancy and periodic interest rate hikes have further dampened sentiments.</w:t>
      </w:r>
    </w:p>
    <w:p w:rsidR="00F35970" w:rsidRPr="00A76890" w:rsidRDefault="00F35970" w:rsidP="00704CC0">
      <w:pPr>
        <w:pStyle w:val="Normal3-Sub-para"/>
        <w:tabs>
          <w:tab w:val="left" w:pos="567"/>
          <w:tab w:val="left" w:pos="1134"/>
          <w:tab w:val="left" w:pos="1701"/>
          <w:tab w:val="left" w:pos="2268"/>
        </w:tabs>
        <w:spacing w:line="240" w:lineRule="auto"/>
      </w:pPr>
      <w:r w:rsidRPr="00A76890">
        <w:t>Despite various promises from the management that they would try and sell the company’s real estate holdings to pay down debt, the words proved empty and the business failed to execute this strategy. Nitco entered a Master Restructuring Agreement with lenders for rescheduling of debt payment, to manage its working capital position/liquidity challenges, arising out of the mismatch of loan maturities and potential projected earnings.</w:t>
      </w:r>
    </w:p>
    <w:p w:rsidR="00F35970" w:rsidRPr="00A76890" w:rsidRDefault="00F35970" w:rsidP="00704CC0">
      <w:pPr>
        <w:pStyle w:val="Normal3-Sub-para"/>
        <w:tabs>
          <w:tab w:val="left" w:pos="567"/>
          <w:tab w:val="left" w:pos="1134"/>
          <w:tab w:val="left" w:pos="1701"/>
          <w:tab w:val="left" w:pos="2268"/>
        </w:tabs>
        <w:spacing w:line="240" w:lineRule="auto"/>
      </w:pPr>
      <w:r w:rsidRPr="00A76890">
        <w:t xml:space="preserve">Elephant Capital is looking for ways in which to sell its shareholding in what has become a highly illiquid and out of favour stock. </w:t>
      </w:r>
    </w:p>
    <w:p w:rsidR="00F35970" w:rsidRPr="004968F5" w:rsidRDefault="00F35970" w:rsidP="00704CC0">
      <w:pPr>
        <w:pStyle w:val="Heading3-Sub-para"/>
        <w:spacing w:after="120"/>
        <w:rPr>
          <w:i w:val="0"/>
        </w:rPr>
      </w:pPr>
      <w:r w:rsidRPr="004968F5">
        <w:rPr>
          <w:i w:val="0"/>
        </w:rPr>
        <w:lastRenderedPageBreak/>
        <w:t>As at 31 August 2013, the portfolio was as follows:</w:t>
      </w:r>
    </w:p>
    <w:tbl>
      <w:tblPr>
        <w:tblW w:w="8953" w:type="dxa"/>
        <w:tblLayout w:type="fixed"/>
        <w:tblCellMar>
          <w:top w:w="57" w:type="dxa"/>
          <w:left w:w="57" w:type="dxa"/>
          <w:bottom w:w="57" w:type="dxa"/>
          <w:right w:w="57" w:type="dxa"/>
        </w:tblCellMar>
        <w:tblLook w:val="04A0"/>
      </w:tblPr>
      <w:tblGrid>
        <w:gridCol w:w="2755"/>
        <w:gridCol w:w="1203"/>
        <w:gridCol w:w="1203"/>
        <w:gridCol w:w="1264"/>
        <w:gridCol w:w="1264"/>
        <w:gridCol w:w="1264"/>
      </w:tblGrid>
      <w:tr w:rsidR="00A87EA8" w:rsidRPr="004968F5" w:rsidTr="00562F9C">
        <w:trPr>
          <w:trHeight w:val="20"/>
          <w:tblHeader/>
        </w:trPr>
        <w:tc>
          <w:tcPr>
            <w:tcW w:w="1538" w:type="pct"/>
            <w:tcBorders>
              <w:top w:val="single" w:sz="4" w:space="0" w:color="auto"/>
              <w:bottom w:val="single" w:sz="4" w:space="0" w:color="auto"/>
              <w:right w:val="nil"/>
            </w:tcBorders>
            <w:shd w:val="clear" w:color="auto" w:fill="auto"/>
            <w:noWrap/>
            <w:vAlign w:val="bottom"/>
          </w:tcPr>
          <w:p w:rsidR="00F35970" w:rsidRPr="004968F5" w:rsidRDefault="00F35970" w:rsidP="00704CC0">
            <w:pPr>
              <w:pStyle w:val="Normal-Table"/>
              <w:tabs>
                <w:tab w:val="left" w:pos="567"/>
                <w:tab w:val="left" w:pos="1134"/>
                <w:tab w:val="left" w:pos="1701"/>
                <w:tab w:val="left" w:pos="2268"/>
              </w:tabs>
              <w:rPr>
                <w:b/>
                <w:i/>
              </w:rPr>
            </w:pPr>
            <w:r w:rsidRPr="004968F5">
              <w:rPr>
                <w:b/>
                <w:i/>
              </w:rPr>
              <w:t>Company</w:t>
            </w:r>
          </w:p>
        </w:tc>
        <w:tc>
          <w:tcPr>
            <w:tcW w:w="672" w:type="pct"/>
            <w:tcBorders>
              <w:top w:val="single" w:sz="4" w:space="0" w:color="auto"/>
              <w:left w:val="nil"/>
              <w:bottom w:val="single" w:sz="4" w:space="0" w:color="auto"/>
              <w:right w:val="nil"/>
            </w:tcBorders>
            <w:shd w:val="clear" w:color="auto" w:fill="auto"/>
            <w:noWrap/>
            <w:vAlign w:val="bottom"/>
          </w:tcPr>
          <w:p w:rsidR="00F35970" w:rsidRPr="004968F5" w:rsidRDefault="00F35970" w:rsidP="00704CC0">
            <w:pPr>
              <w:pStyle w:val="Normal-Table"/>
              <w:tabs>
                <w:tab w:val="left" w:pos="567"/>
                <w:tab w:val="left" w:pos="1134"/>
                <w:tab w:val="left" w:pos="1701"/>
                <w:tab w:val="left" w:pos="2268"/>
              </w:tabs>
              <w:jc w:val="right"/>
              <w:rPr>
                <w:b/>
                <w:i/>
              </w:rPr>
            </w:pPr>
            <w:r w:rsidRPr="004968F5">
              <w:rPr>
                <w:b/>
                <w:i/>
              </w:rPr>
              <w:t>Sector</w:t>
            </w:r>
          </w:p>
        </w:tc>
        <w:tc>
          <w:tcPr>
            <w:tcW w:w="672" w:type="pct"/>
            <w:tcBorders>
              <w:top w:val="single" w:sz="4" w:space="0" w:color="auto"/>
              <w:left w:val="nil"/>
              <w:bottom w:val="single" w:sz="4" w:space="0" w:color="auto"/>
              <w:right w:val="nil"/>
            </w:tcBorders>
            <w:shd w:val="clear" w:color="auto" w:fill="auto"/>
            <w:vAlign w:val="bottom"/>
          </w:tcPr>
          <w:p w:rsidR="00F35970" w:rsidRPr="004968F5" w:rsidRDefault="00F35970" w:rsidP="00704CC0">
            <w:pPr>
              <w:pStyle w:val="Normal-Table"/>
              <w:tabs>
                <w:tab w:val="left" w:pos="567"/>
                <w:tab w:val="left" w:pos="1134"/>
                <w:tab w:val="left" w:pos="1701"/>
                <w:tab w:val="left" w:pos="2268"/>
              </w:tabs>
              <w:jc w:val="right"/>
              <w:rPr>
                <w:b/>
                <w:i/>
              </w:rPr>
            </w:pPr>
            <w:r w:rsidRPr="004968F5">
              <w:rPr>
                <w:b/>
                <w:i/>
              </w:rPr>
              <w:t>Listed/</w:t>
            </w:r>
          </w:p>
          <w:p w:rsidR="00F35970" w:rsidRPr="004968F5" w:rsidRDefault="00F35970" w:rsidP="00704CC0">
            <w:pPr>
              <w:pStyle w:val="Normal-Table"/>
              <w:tabs>
                <w:tab w:val="left" w:pos="567"/>
                <w:tab w:val="left" w:pos="1134"/>
                <w:tab w:val="left" w:pos="1701"/>
                <w:tab w:val="left" w:pos="2268"/>
              </w:tabs>
              <w:jc w:val="right"/>
              <w:rPr>
                <w:b/>
                <w:i/>
              </w:rPr>
            </w:pPr>
            <w:r w:rsidRPr="004968F5">
              <w:rPr>
                <w:b/>
                <w:i/>
              </w:rPr>
              <w:t>Unlisted</w:t>
            </w:r>
          </w:p>
        </w:tc>
        <w:tc>
          <w:tcPr>
            <w:tcW w:w="706" w:type="pct"/>
            <w:tcBorders>
              <w:top w:val="single" w:sz="4" w:space="0" w:color="auto"/>
              <w:left w:val="nil"/>
              <w:bottom w:val="single" w:sz="4" w:space="0" w:color="auto"/>
              <w:right w:val="nil"/>
            </w:tcBorders>
            <w:shd w:val="clear" w:color="auto" w:fill="auto"/>
            <w:vAlign w:val="bottom"/>
          </w:tcPr>
          <w:p w:rsidR="00F35970" w:rsidRPr="004968F5" w:rsidRDefault="00F35970" w:rsidP="00704CC0">
            <w:pPr>
              <w:pStyle w:val="Normal-Table"/>
              <w:tabs>
                <w:tab w:val="left" w:pos="567"/>
                <w:tab w:val="left" w:pos="1134"/>
                <w:tab w:val="left" w:pos="1701"/>
                <w:tab w:val="left" w:pos="2268"/>
              </w:tabs>
              <w:jc w:val="right"/>
              <w:rPr>
                <w:b/>
                <w:i/>
              </w:rPr>
            </w:pPr>
            <w:r w:rsidRPr="004968F5">
              <w:rPr>
                <w:b/>
                <w:i/>
              </w:rPr>
              <w:t xml:space="preserve">Cost               </w:t>
            </w:r>
          </w:p>
          <w:p w:rsidR="00F35970" w:rsidRPr="004968F5" w:rsidRDefault="00F35970" w:rsidP="00704CC0">
            <w:pPr>
              <w:pStyle w:val="Normal-Table"/>
              <w:tabs>
                <w:tab w:val="left" w:pos="567"/>
                <w:tab w:val="left" w:pos="1134"/>
                <w:tab w:val="left" w:pos="1701"/>
                <w:tab w:val="left" w:pos="2268"/>
              </w:tabs>
              <w:jc w:val="right"/>
              <w:rPr>
                <w:b/>
                <w:i/>
              </w:rPr>
            </w:pPr>
          </w:p>
          <w:p w:rsidR="00F35970" w:rsidRPr="004968F5" w:rsidRDefault="00F35970" w:rsidP="00704CC0">
            <w:pPr>
              <w:pStyle w:val="Normal-Table"/>
              <w:tabs>
                <w:tab w:val="left" w:pos="567"/>
                <w:tab w:val="left" w:pos="1134"/>
                <w:tab w:val="left" w:pos="1701"/>
                <w:tab w:val="left" w:pos="2268"/>
              </w:tabs>
              <w:jc w:val="right"/>
              <w:rPr>
                <w:b/>
                <w:i/>
              </w:rPr>
            </w:pPr>
            <w:r w:rsidRPr="004968F5">
              <w:rPr>
                <w:b/>
                <w:i/>
              </w:rPr>
              <w:t>£'000</w:t>
            </w:r>
          </w:p>
        </w:tc>
        <w:tc>
          <w:tcPr>
            <w:tcW w:w="706" w:type="pct"/>
            <w:tcBorders>
              <w:top w:val="single" w:sz="4" w:space="0" w:color="auto"/>
              <w:left w:val="nil"/>
              <w:bottom w:val="single" w:sz="4" w:space="0" w:color="auto"/>
              <w:right w:val="nil"/>
            </w:tcBorders>
            <w:vAlign w:val="bottom"/>
          </w:tcPr>
          <w:p w:rsidR="00F35970" w:rsidRPr="004968F5" w:rsidRDefault="00F35970" w:rsidP="00704CC0">
            <w:pPr>
              <w:pStyle w:val="Normal-Table"/>
              <w:tabs>
                <w:tab w:val="left" w:pos="567"/>
                <w:tab w:val="left" w:pos="1134"/>
                <w:tab w:val="left" w:pos="1701"/>
                <w:tab w:val="left" w:pos="2268"/>
              </w:tabs>
              <w:jc w:val="right"/>
              <w:rPr>
                <w:b/>
                <w:i/>
              </w:rPr>
            </w:pPr>
            <w:r w:rsidRPr="004968F5">
              <w:rPr>
                <w:b/>
                <w:i/>
              </w:rPr>
              <w:t>Valuation</w:t>
            </w:r>
          </w:p>
          <w:p w:rsidR="00F35970" w:rsidRPr="004968F5" w:rsidRDefault="00F35970" w:rsidP="00704CC0">
            <w:pPr>
              <w:pStyle w:val="Normal-Table"/>
              <w:tabs>
                <w:tab w:val="left" w:pos="567"/>
                <w:tab w:val="left" w:pos="1134"/>
                <w:tab w:val="left" w:pos="1701"/>
                <w:tab w:val="left" w:pos="2268"/>
              </w:tabs>
              <w:jc w:val="right"/>
              <w:rPr>
                <w:b/>
                <w:i/>
              </w:rPr>
            </w:pPr>
            <w:r w:rsidRPr="004968F5">
              <w:rPr>
                <w:b/>
                <w:i/>
              </w:rPr>
              <w:t>31 Aug,</w:t>
            </w:r>
            <w:r w:rsidR="004968F5" w:rsidRPr="004968F5">
              <w:rPr>
                <w:b/>
                <w:i/>
              </w:rPr>
              <w:t xml:space="preserve"> </w:t>
            </w:r>
            <w:r w:rsidR="00C730C0" w:rsidRPr="004968F5">
              <w:rPr>
                <w:b/>
                <w:i/>
              </w:rPr>
              <w:t>20</w:t>
            </w:r>
            <w:r w:rsidRPr="004968F5">
              <w:rPr>
                <w:b/>
                <w:i/>
              </w:rPr>
              <w:t>13</w:t>
            </w:r>
          </w:p>
          <w:p w:rsidR="00F35970" w:rsidRPr="004968F5" w:rsidRDefault="00F35970" w:rsidP="00704CC0">
            <w:pPr>
              <w:pStyle w:val="Normal-Table"/>
              <w:tabs>
                <w:tab w:val="left" w:pos="567"/>
                <w:tab w:val="left" w:pos="1134"/>
                <w:tab w:val="left" w:pos="1701"/>
                <w:tab w:val="left" w:pos="2268"/>
              </w:tabs>
              <w:jc w:val="right"/>
              <w:rPr>
                <w:b/>
                <w:i/>
              </w:rPr>
            </w:pPr>
            <w:r w:rsidRPr="004968F5">
              <w:rPr>
                <w:b/>
                <w:i/>
              </w:rPr>
              <w:t>£'000</w:t>
            </w:r>
          </w:p>
        </w:tc>
        <w:tc>
          <w:tcPr>
            <w:tcW w:w="706" w:type="pct"/>
            <w:tcBorders>
              <w:top w:val="single" w:sz="4" w:space="0" w:color="auto"/>
              <w:left w:val="nil"/>
              <w:bottom w:val="single" w:sz="4" w:space="0" w:color="auto"/>
            </w:tcBorders>
            <w:shd w:val="clear" w:color="auto" w:fill="auto"/>
            <w:vAlign w:val="bottom"/>
          </w:tcPr>
          <w:p w:rsidR="00F35970" w:rsidRPr="004968F5" w:rsidRDefault="00F35970" w:rsidP="00704CC0">
            <w:pPr>
              <w:pStyle w:val="Normal-Table"/>
              <w:tabs>
                <w:tab w:val="left" w:pos="567"/>
                <w:tab w:val="left" w:pos="1134"/>
                <w:tab w:val="left" w:pos="1701"/>
                <w:tab w:val="left" w:pos="2268"/>
              </w:tabs>
              <w:jc w:val="right"/>
              <w:rPr>
                <w:b/>
                <w:i/>
              </w:rPr>
            </w:pPr>
            <w:r w:rsidRPr="004968F5">
              <w:rPr>
                <w:b/>
                <w:i/>
              </w:rPr>
              <w:t>Gain/(Loss)</w:t>
            </w:r>
          </w:p>
          <w:p w:rsidR="00F35970" w:rsidRPr="004968F5" w:rsidRDefault="00F35970" w:rsidP="00704CC0">
            <w:pPr>
              <w:pStyle w:val="Normal-Table"/>
              <w:tabs>
                <w:tab w:val="left" w:pos="567"/>
                <w:tab w:val="left" w:pos="1134"/>
                <w:tab w:val="left" w:pos="1701"/>
                <w:tab w:val="left" w:pos="2268"/>
              </w:tabs>
              <w:jc w:val="right"/>
              <w:rPr>
                <w:b/>
                <w:i/>
              </w:rPr>
            </w:pPr>
            <w:r w:rsidRPr="004968F5">
              <w:rPr>
                <w:b/>
                <w:i/>
              </w:rPr>
              <w:t>Over Cost                             £'000</w:t>
            </w:r>
          </w:p>
        </w:tc>
      </w:tr>
      <w:tr w:rsidR="00A87EA8" w:rsidRPr="00A76890" w:rsidTr="00562F9C">
        <w:trPr>
          <w:trHeight w:val="20"/>
        </w:trPr>
        <w:tc>
          <w:tcPr>
            <w:tcW w:w="1538" w:type="pct"/>
            <w:tcBorders>
              <w:left w:val="nil"/>
              <w:right w:val="nil"/>
            </w:tcBorders>
            <w:shd w:val="clear" w:color="auto" w:fill="auto"/>
            <w:noWrap/>
            <w:vAlign w:val="bottom"/>
          </w:tcPr>
          <w:p w:rsidR="00F35970" w:rsidRPr="00A76890" w:rsidRDefault="00F35970" w:rsidP="00704CC0">
            <w:pPr>
              <w:pStyle w:val="Normal-Table"/>
              <w:tabs>
                <w:tab w:val="left" w:pos="567"/>
                <w:tab w:val="left" w:pos="1134"/>
                <w:tab w:val="left" w:pos="1701"/>
                <w:tab w:val="left" w:pos="2268"/>
              </w:tabs>
            </w:pPr>
            <w:r w:rsidRPr="00A76890">
              <w:t>Air Works India (Engineering) Private Limited</w:t>
            </w:r>
          </w:p>
        </w:tc>
        <w:tc>
          <w:tcPr>
            <w:tcW w:w="672" w:type="pct"/>
            <w:tcBorders>
              <w:left w:val="nil"/>
              <w:right w:val="nil"/>
            </w:tcBorders>
            <w:shd w:val="clear" w:color="auto" w:fill="auto"/>
            <w:noWrap/>
            <w:vAlign w:val="bottom"/>
          </w:tcPr>
          <w:p w:rsidR="00F35970" w:rsidRPr="00A76890" w:rsidRDefault="00F35970" w:rsidP="00704CC0">
            <w:pPr>
              <w:pStyle w:val="Normal-Table"/>
              <w:tabs>
                <w:tab w:val="left" w:pos="567"/>
                <w:tab w:val="left" w:pos="1134"/>
                <w:tab w:val="left" w:pos="1701"/>
                <w:tab w:val="left" w:pos="2268"/>
              </w:tabs>
              <w:jc w:val="right"/>
            </w:pPr>
            <w:r w:rsidRPr="00A76890">
              <w:t>Aviation</w:t>
            </w:r>
          </w:p>
        </w:tc>
        <w:tc>
          <w:tcPr>
            <w:tcW w:w="672" w:type="pct"/>
            <w:tcBorders>
              <w:left w:val="nil"/>
              <w:right w:val="nil"/>
            </w:tcBorders>
            <w:shd w:val="clear" w:color="auto" w:fill="auto"/>
            <w:vAlign w:val="bottom"/>
          </w:tcPr>
          <w:p w:rsidR="00F35970" w:rsidRPr="00A76890" w:rsidRDefault="00F35970" w:rsidP="00704CC0">
            <w:pPr>
              <w:pStyle w:val="Normal-Table"/>
              <w:tabs>
                <w:tab w:val="left" w:pos="567"/>
                <w:tab w:val="left" w:pos="1134"/>
                <w:tab w:val="left" w:pos="1701"/>
                <w:tab w:val="left" w:pos="2268"/>
              </w:tabs>
              <w:jc w:val="right"/>
            </w:pPr>
            <w:r w:rsidRPr="00A76890">
              <w:t>Unlisted</w:t>
            </w:r>
          </w:p>
        </w:tc>
        <w:tc>
          <w:tcPr>
            <w:tcW w:w="706" w:type="pct"/>
            <w:tcBorders>
              <w:left w:val="nil"/>
              <w:right w:val="nil"/>
            </w:tcBorders>
            <w:shd w:val="clear" w:color="auto" w:fill="auto"/>
            <w:noWrap/>
            <w:vAlign w:val="bottom"/>
          </w:tcPr>
          <w:p w:rsidR="00F35970" w:rsidRPr="00A76890" w:rsidRDefault="00F35970" w:rsidP="00704CC0">
            <w:pPr>
              <w:pStyle w:val="Normal-Table"/>
              <w:tabs>
                <w:tab w:val="left" w:pos="567"/>
                <w:tab w:val="left" w:pos="1134"/>
                <w:tab w:val="left" w:pos="1701"/>
                <w:tab w:val="left" w:pos="2268"/>
              </w:tabs>
              <w:jc w:val="right"/>
            </w:pPr>
            <w:r w:rsidRPr="00A76890">
              <w:t>2,922</w:t>
            </w:r>
          </w:p>
        </w:tc>
        <w:tc>
          <w:tcPr>
            <w:tcW w:w="706" w:type="pct"/>
            <w:tcBorders>
              <w:left w:val="nil"/>
              <w:right w:val="nil"/>
            </w:tcBorders>
            <w:vAlign w:val="bottom"/>
          </w:tcPr>
          <w:p w:rsidR="00F35970" w:rsidRPr="00A76890" w:rsidRDefault="00F35970" w:rsidP="00704CC0">
            <w:pPr>
              <w:pStyle w:val="Normal-Table"/>
              <w:tabs>
                <w:tab w:val="left" w:pos="567"/>
                <w:tab w:val="left" w:pos="1134"/>
                <w:tab w:val="left" w:pos="1701"/>
                <w:tab w:val="left" w:pos="2268"/>
              </w:tabs>
              <w:jc w:val="right"/>
            </w:pPr>
            <w:r w:rsidRPr="00A76890">
              <w:t>2</w:t>
            </w:r>
            <w:r w:rsidR="00666C08" w:rsidRPr="00A76890">
              <w:t>,</w:t>
            </w:r>
            <w:r w:rsidRPr="00A76890">
              <w:t>918</w:t>
            </w:r>
          </w:p>
        </w:tc>
        <w:tc>
          <w:tcPr>
            <w:tcW w:w="706" w:type="pct"/>
            <w:tcBorders>
              <w:left w:val="nil"/>
              <w:right w:val="nil"/>
            </w:tcBorders>
            <w:shd w:val="clear" w:color="auto" w:fill="auto"/>
            <w:noWrap/>
            <w:vAlign w:val="bottom"/>
          </w:tcPr>
          <w:p w:rsidR="00F35970" w:rsidRPr="00A76890" w:rsidRDefault="00F35970" w:rsidP="00704CC0">
            <w:pPr>
              <w:pStyle w:val="Normal-Table"/>
              <w:tabs>
                <w:tab w:val="left" w:pos="567"/>
                <w:tab w:val="left" w:pos="1134"/>
                <w:tab w:val="left" w:pos="1701"/>
                <w:tab w:val="left" w:pos="2268"/>
              </w:tabs>
              <w:jc w:val="right"/>
            </w:pPr>
            <w:r w:rsidRPr="00A76890">
              <w:t>(4)</w:t>
            </w:r>
          </w:p>
        </w:tc>
      </w:tr>
      <w:tr w:rsidR="00A87EA8" w:rsidRPr="00A76890" w:rsidTr="00562F9C">
        <w:trPr>
          <w:trHeight w:val="20"/>
        </w:trPr>
        <w:tc>
          <w:tcPr>
            <w:tcW w:w="1538" w:type="pct"/>
            <w:tcBorders>
              <w:left w:val="nil"/>
              <w:right w:val="nil"/>
            </w:tcBorders>
            <w:shd w:val="clear" w:color="auto" w:fill="auto"/>
            <w:noWrap/>
            <w:vAlign w:val="bottom"/>
          </w:tcPr>
          <w:p w:rsidR="00F35970" w:rsidRPr="00A76890" w:rsidRDefault="00F35970" w:rsidP="00704CC0">
            <w:pPr>
              <w:pStyle w:val="Normal-Table"/>
              <w:tabs>
                <w:tab w:val="left" w:pos="567"/>
                <w:tab w:val="left" w:pos="1134"/>
                <w:tab w:val="left" w:pos="1701"/>
                <w:tab w:val="left" w:pos="2268"/>
              </w:tabs>
            </w:pPr>
            <w:proofErr w:type="spellStart"/>
            <w:r w:rsidRPr="00A76890">
              <w:t>Amar</w:t>
            </w:r>
            <w:proofErr w:type="spellEnd"/>
            <w:r w:rsidRPr="00A76890">
              <w:t xml:space="preserve"> </w:t>
            </w:r>
            <w:proofErr w:type="spellStart"/>
            <w:r w:rsidRPr="00A76890">
              <w:t>Chitra</w:t>
            </w:r>
            <w:proofErr w:type="spellEnd"/>
            <w:r w:rsidRPr="00A76890">
              <w:t xml:space="preserve"> </w:t>
            </w:r>
            <w:proofErr w:type="spellStart"/>
            <w:r w:rsidRPr="00A76890">
              <w:t>Katha</w:t>
            </w:r>
            <w:proofErr w:type="spellEnd"/>
            <w:r w:rsidRPr="00A76890">
              <w:t xml:space="preserve"> Private Limited</w:t>
            </w:r>
          </w:p>
        </w:tc>
        <w:tc>
          <w:tcPr>
            <w:tcW w:w="672" w:type="pct"/>
            <w:tcBorders>
              <w:left w:val="nil"/>
              <w:right w:val="nil"/>
            </w:tcBorders>
            <w:shd w:val="clear" w:color="auto" w:fill="auto"/>
            <w:noWrap/>
            <w:vAlign w:val="bottom"/>
          </w:tcPr>
          <w:p w:rsidR="00F35970" w:rsidRPr="00A76890" w:rsidRDefault="00F35970" w:rsidP="00704CC0">
            <w:pPr>
              <w:pStyle w:val="Normal-Table"/>
              <w:tabs>
                <w:tab w:val="left" w:pos="567"/>
                <w:tab w:val="left" w:pos="1134"/>
                <w:tab w:val="left" w:pos="1701"/>
                <w:tab w:val="left" w:pos="2268"/>
              </w:tabs>
              <w:jc w:val="right"/>
            </w:pPr>
            <w:r w:rsidRPr="00A76890">
              <w:t>Media</w:t>
            </w:r>
          </w:p>
        </w:tc>
        <w:tc>
          <w:tcPr>
            <w:tcW w:w="672" w:type="pct"/>
            <w:tcBorders>
              <w:left w:val="nil"/>
              <w:right w:val="nil"/>
            </w:tcBorders>
            <w:shd w:val="clear" w:color="auto" w:fill="auto"/>
            <w:vAlign w:val="bottom"/>
          </w:tcPr>
          <w:p w:rsidR="00F35970" w:rsidRPr="00A76890" w:rsidRDefault="00F35970" w:rsidP="00704CC0">
            <w:pPr>
              <w:pStyle w:val="Normal-Table"/>
              <w:tabs>
                <w:tab w:val="left" w:pos="567"/>
                <w:tab w:val="left" w:pos="1134"/>
                <w:tab w:val="left" w:pos="1701"/>
                <w:tab w:val="left" w:pos="2268"/>
              </w:tabs>
              <w:jc w:val="right"/>
            </w:pPr>
            <w:r w:rsidRPr="00A76890">
              <w:t>Unlisted</w:t>
            </w:r>
          </w:p>
        </w:tc>
        <w:tc>
          <w:tcPr>
            <w:tcW w:w="706" w:type="pct"/>
            <w:tcBorders>
              <w:left w:val="nil"/>
              <w:right w:val="nil"/>
            </w:tcBorders>
            <w:shd w:val="clear" w:color="auto" w:fill="auto"/>
            <w:noWrap/>
            <w:vAlign w:val="bottom"/>
          </w:tcPr>
          <w:p w:rsidR="00F35970" w:rsidRPr="00A76890" w:rsidRDefault="00F35970" w:rsidP="00704CC0">
            <w:pPr>
              <w:pStyle w:val="Normal-Table"/>
              <w:tabs>
                <w:tab w:val="left" w:pos="567"/>
                <w:tab w:val="left" w:pos="1134"/>
                <w:tab w:val="left" w:pos="1701"/>
                <w:tab w:val="left" w:pos="2268"/>
              </w:tabs>
              <w:jc w:val="right"/>
            </w:pPr>
            <w:r w:rsidRPr="00A76890">
              <w:t>4,085</w:t>
            </w:r>
          </w:p>
        </w:tc>
        <w:tc>
          <w:tcPr>
            <w:tcW w:w="706" w:type="pct"/>
            <w:tcBorders>
              <w:left w:val="nil"/>
              <w:right w:val="nil"/>
            </w:tcBorders>
            <w:vAlign w:val="bottom"/>
          </w:tcPr>
          <w:p w:rsidR="00F35970" w:rsidRPr="00A76890" w:rsidRDefault="00F35970" w:rsidP="00704CC0">
            <w:pPr>
              <w:pStyle w:val="Normal-Table"/>
              <w:tabs>
                <w:tab w:val="left" w:pos="567"/>
                <w:tab w:val="left" w:pos="1134"/>
                <w:tab w:val="left" w:pos="1701"/>
                <w:tab w:val="left" w:pos="2268"/>
              </w:tabs>
              <w:jc w:val="right"/>
            </w:pPr>
            <w:r w:rsidRPr="00A76890">
              <w:t>1</w:t>
            </w:r>
            <w:r w:rsidR="00666C08" w:rsidRPr="00A76890">
              <w:t>,</w:t>
            </w:r>
            <w:r w:rsidRPr="00A76890">
              <w:t>37</w:t>
            </w:r>
            <w:r w:rsidR="00666C08" w:rsidRPr="00A76890">
              <w:t>4</w:t>
            </w:r>
          </w:p>
        </w:tc>
        <w:tc>
          <w:tcPr>
            <w:tcW w:w="706" w:type="pct"/>
            <w:tcBorders>
              <w:left w:val="nil"/>
              <w:right w:val="nil"/>
            </w:tcBorders>
            <w:shd w:val="clear" w:color="auto" w:fill="auto"/>
            <w:noWrap/>
            <w:vAlign w:val="bottom"/>
          </w:tcPr>
          <w:p w:rsidR="00F35970" w:rsidRPr="00A76890" w:rsidRDefault="00F35970" w:rsidP="00704CC0">
            <w:pPr>
              <w:pStyle w:val="Normal-Table"/>
              <w:tabs>
                <w:tab w:val="left" w:pos="567"/>
                <w:tab w:val="left" w:pos="1134"/>
                <w:tab w:val="left" w:pos="1701"/>
                <w:tab w:val="left" w:pos="2268"/>
              </w:tabs>
              <w:jc w:val="right"/>
            </w:pPr>
            <w:r w:rsidRPr="00A76890">
              <w:t>(2,71</w:t>
            </w:r>
            <w:r w:rsidR="00666C08" w:rsidRPr="00A76890">
              <w:t>1</w:t>
            </w:r>
            <w:r w:rsidRPr="00A76890">
              <w:t>)</w:t>
            </w:r>
          </w:p>
        </w:tc>
      </w:tr>
      <w:tr w:rsidR="00A87EA8" w:rsidRPr="00A76890" w:rsidTr="00562F9C">
        <w:trPr>
          <w:trHeight w:val="20"/>
        </w:trPr>
        <w:tc>
          <w:tcPr>
            <w:tcW w:w="1538" w:type="pct"/>
            <w:tcBorders>
              <w:left w:val="nil"/>
              <w:bottom w:val="nil"/>
              <w:right w:val="nil"/>
            </w:tcBorders>
            <w:shd w:val="clear" w:color="auto" w:fill="auto"/>
            <w:noWrap/>
          </w:tcPr>
          <w:p w:rsidR="00F35970" w:rsidRPr="00A76890" w:rsidRDefault="00F35970" w:rsidP="00704CC0">
            <w:pPr>
              <w:pStyle w:val="Normal-Table"/>
              <w:tabs>
                <w:tab w:val="left" w:pos="567"/>
                <w:tab w:val="left" w:pos="1134"/>
                <w:tab w:val="left" w:pos="1701"/>
                <w:tab w:val="left" w:pos="2268"/>
              </w:tabs>
            </w:pPr>
            <w:r w:rsidRPr="00A76890">
              <w:t>Global Cricket Ventures Limited</w:t>
            </w:r>
          </w:p>
        </w:tc>
        <w:tc>
          <w:tcPr>
            <w:tcW w:w="672" w:type="pct"/>
            <w:tcBorders>
              <w:left w:val="nil"/>
              <w:bottom w:val="nil"/>
              <w:right w:val="nil"/>
            </w:tcBorders>
            <w:shd w:val="clear" w:color="auto" w:fill="auto"/>
            <w:noWrap/>
            <w:vAlign w:val="bottom"/>
          </w:tcPr>
          <w:p w:rsidR="00F35970" w:rsidRPr="00A76890" w:rsidRDefault="00F35970" w:rsidP="00704CC0">
            <w:pPr>
              <w:pStyle w:val="Normal-Table"/>
              <w:tabs>
                <w:tab w:val="left" w:pos="567"/>
                <w:tab w:val="left" w:pos="1134"/>
                <w:tab w:val="left" w:pos="1701"/>
                <w:tab w:val="left" w:pos="2268"/>
              </w:tabs>
              <w:jc w:val="right"/>
            </w:pPr>
            <w:r w:rsidRPr="00A76890">
              <w:t>Media</w:t>
            </w:r>
          </w:p>
        </w:tc>
        <w:tc>
          <w:tcPr>
            <w:tcW w:w="672" w:type="pct"/>
            <w:tcBorders>
              <w:left w:val="nil"/>
              <w:bottom w:val="nil"/>
              <w:right w:val="nil"/>
            </w:tcBorders>
            <w:shd w:val="clear" w:color="auto" w:fill="auto"/>
            <w:vAlign w:val="bottom"/>
          </w:tcPr>
          <w:p w:rsidR="00F35970" w:rsidRPr="00A76890" w:rsidRDefault="00F35970" w:rsidP="00704CC0">
            <w:pPr>
              <w:pStyle w:val="Normal-Table"/>
              <w:tabs>
                <w:tab w:val="left" w:pos="567"/>
                <w:tab w:val="left" w:pos="1134"/>
                <w:tab w:val="left" w:pos="1701"/>
                <w:tab w:val="left" w:pos="2268"/>
              </w:tabs>
              <w:jc w:val="right"/>
            </w:pPr>
            <w:r w:rsidRPr="00A76890">
              <w:t>Unlisted</w:t>
            </w:r>
          </w:p>
        </w:tc>
        <w:tc>
          <w:tcPr>
            <w:tcW w:w="706" w:type="pct"/>
            <w:tcBorders>
              <w:left w:val="nil"/>
              <w:bottom w:val="nil"/>
              <w:right w:val="nil"/>
            </w:tcBorders>
            <w:shd w:val="clear" w:color="auto" w:fill="auto"/>
            <w:noWrap/>
            <w:vAlign w:val="bottom"/>
          </w:tcPr>
          <w:p w:rsidR="00F35970" w:rsidRPr="00A76890" w:rsidRDefault="00F35970" w:rsidP="00704CC0">
            <w:pPr>
              <w:pStyle w:val="Normal-Table"/>
              <w:tabs>
                <w:tab w:val="left" w:pos="567"/>
                <w:tab w:val="left" w:pos="1134"/>
                <w:tab w:val="left" w:pos="1701"/>
                <w:tab w:val="left" w:pos="2268"/>
              </w:tabs>
              <w:jc w:val="right"/>
            </w:pPr>
            <w:r w:rsidRPr="00A76890">
              <w:t xml:space="preserve">5,949 </w:t>
            </w:r>
          </w:p>
        </w:tc>
        <w:tc>
          <w:tcPr>
            <w:tcW w:w="706" w:type="pct"/>
            <w:tcBorders>
              <w:left w:val="nil"/>
              <w:bottom w:val="nil"/>
              <w:right w:val="nil"/>
            </w:tcBorders>
            <w:vAlign w:val="bottom"/>
          </w:tcPr>
          <w:p w:rsidR="00F35970" w:rsidRPr="00A76890" w:rsidRDefault="00F35970" w:rsidP="00704CC0">
            <w:pPr>
              <w:pStyle w:val="Normal-Table"/>
              <w:tabs>
                <w:tab w:val="left" w:pos="567"/>
                <w:tab w:val="left" w:pos="1134"/>
                <w:tab w:val="left" w:pos="1701"/>
                <w:tab w:val="left" w:pos="2268"/>
              </w:tabs>
              <w:jc w:val="right"/>
            </w:pPr>
            <w:r w:rsidRPr="00A76890">
              <w:t>583</w:t>
            </w:r>
          </w:p>
        </w:tc>
        <w:tc>
          <w:tcPr>
            <w:tcW w:w="706" w:type="pct"/>
            <w:tcBorders>
              <w:left w:val="nil"/>
              <w:bottom w:val="nil"/>
              <w:right w:val="nil"/>
            </w:tcBorders>
            <w:shd w:val="clear" w:color="auto" w:fill="auto"/>
            <w:noWrap/>
            <w:vAlign w:val="bottom"/>
          </w:tcPr>
          <w:p w:rsidR="00F35970" w:rsidRPr="00A76890" w:rsidRDefault="00F35970" w:rsidP="00704CC0">
            <w:pPr>
              <w:pStyle w:val="Normal-Table"/>
              <w:tabs>
                <w:tab w:val="left" w:pos="567"/>
                <w:tab w:val="left" w:pos="1134"/>
                <w:tab w:val="left" w:pos="1701"/>
                <w:tab w:val="left" w:pos="2268"/>
              </w:tabs>
              <w:jc w:val="right"/>
            </w:pPr>
            <w:r w:rsidRPr="00A76890">
              <w:t>(5,366)</w:t>
            </w:r>
          </w:p>
        </w:tc>
      </w:tr>
      <w:tr w:rsidR="00A87EA8" w:rsidRPr="00A76890" w:rsidTr="00562F9C">
        <w:trPr>
          <w:trHeight w:val="20"/>
        </w:trPr>
        <w:tc>
          <w:tcPr>
            <w:tcW w:w="1538" w:type="pct"/>
            <w:tcBorders>
              <w:left w:val="nil"/>
              <w:bottom w:val="nil"/>
              <w:right w:val="nil"/>
            </w:tcBorders>
            <w:shd w:val="clear" w:color="auto" w:fill="auto"/>
            <w:noWrap/>
          </w:tcPr>
          <w:p w:rsidR="008B13B1" w:rsidRPr="00A76890" w:rsidRDefault="008B13B1" w:rsidP="00704CC0">
            <w:pPr>
              <w:pStyle w:val="Normal-Table"/>
              <w:tabs>
                <w:tab w:val="left" w:pos="567"/>
                <w:tab w:val="left" w:pos="1134"/>
                <w:tab w:val="left" w:pos="1701"/>
                <w:tab w:val="left" w:pos="2268"/>
              </w:tabs>
            </w:pPr>
            <w:r w:rsidRPr="00A76890">
              <w:t>Obopay Inc.</w:t>
            </w:r>
          </w:p>
        </w:tc>
        <w:tc>
          <w:tcPr>
            <w:tcW w:w="672" w:type="pct"/>
            <w:tcBorders>
              <w:left w:val="nil"/>
              <w:bottom w:val="nil"/>
              <w:right w:val="nil"/>
            </w:tcBorders>
            <w:shd w:val="clear" w:color="auto" w:fill="auto"/>
            <w:noWrap/>
            <w:vAlign w:val="bottom"/>
          </w:tcPr>
          <w:p w:rsidR="008B13B1" w:rsidRPr="00A76890" w:rsidRDefault="008B13B1" w:rsidP="00704CC0">
            <w:pPr>
              <w:pStyle w:val="Normal-Table"/>
              <w:tabs>
                <w:tab w:val="left" w:pos="567"/>
                <w:tab w:val="left" w:pos="1134"/>
                <w:tab w:val="left" w:pos="1701"/>
                <w:tab w:val="left" w:pos="2268"/>
              </w:tabs>
              <w:jc w:val="right"/>
            </w:pPr>
            <w:r w:rsidRPr="00A76890">
              <w:t>Mobile banking services</w:t>
            </w:r>
          </w:p>
        </w:tc>
        <w:tc>
          <w:tcPr>
            <w:tcW w:w="672" w:type="pct"/>
            <w:tcBorders>
              <w:left w:val="nil"/>
              <w:bottom w:val="nil"/>
              <w:right w:val="nil"/>
            </w:tcBorders>
            <w:shd w:val="clear" w:color="auto" w:fill="auto"/>
            <w:vAlign w:val="bottom"/>
          </w:tcPr>
          <w:p w:rsidR="008B13B1" w:rsidRPr="00A76890" w:rsidRDefault="00ED417E" w:rsidP="00704CC0">
            <w:pPr>
              <w:pStyle w:val="Normal-Table"/>
              <w:tabs>
                <w:tab w:val="left" w:pos="567"/>
                <w:tab w:val="left" w:pos="1134"/>
                <w:tab w:val="left" w:pos="1701"/>
                <w:tab w:val="left" w:pos="2268"/>
              </w:tabs>
              <w:jc w:val="right"/>
            </w:pPr>
            <w:r w:rsidRPr="00A76890">
              <w:t>U</w:t>
            </w:r>
            <w:r w:rsidR="008B13B1" w:rsidRPr="00A76890">
              <w:t>nlisted</w:t>
            </w:r>
          </w:p>
        </w:tc>
        <w:tc>
          <w:tcPr>
            <w:tcW w:w="706" w:type="pct"/>
            <w:tcBorders>
              <w:left w:val="nil"/>
              <w:bottom w:val="nil"/>
              <w:right w:val="nil"/>
            </w:tcBorders>
            <w:shd w:val="clear" w:color="auto" w:fill="auto"/>
            <w:noWrap/>
            <w:vAlign w:val="bottom"/>
          </w:tcPr>
          <w:p w:rsidR="008B13B1" w:rsidRPr="00A76890" w:rsidRDefault="008B13B1" w:rsidP="00704CC0">
            <w:pPr>
              <w:pStyle w:val="Normal-Table"/>
              <w:tabs>
                <w:tab w:val="left" w:pos="567"/>
                <w:tab w:val="left" w:pos="1134"/>
                <w:tab w:val="left" w:pos="1701"/>
                <w:tab w:val="left" w:pos="2268"/>
              </w:tabs>
              <w:jc w:val="right"/>
            </w:pPr>
            <w:r w:rsidRPr="00A76890">
              <w:t>1,239</w:t>
            </w:r>
          </w:p>
        </w:tc>
        <w:tc>
          <w:tcPr>
            <w:tcW w:w="706" w:type="pct"/>
            <w:tcBorders>
              <w:left w:val="nil"/>
              <w:bottom w:val="nil"/>
              <w:right w:val="nil"/>
            </w:tcBorders>
            <w:vAlign w:val="bottom"/>
          </w:tcPr>
          <w:p w:rsidR="008B13B1" w:rsidRPr="00A76890" w:rsidRDefault="008B13B1" w:rsidP="00704CC0">
            <w:pPr>
              <w:pStyle w:val="Normal-Table"/>
              <w:tabs>
                <w:tab w:val="left" w:pos="567"/>
                <w:tab w:val="left" w:pos="1134"/>
                <w:tab w:val="left" w:pos="1701"/>
                <w:tab w:val="left" w:pos="2268"/>
              </w:tabs>
              <w:jc w:val="right"/>
            </w:pPr>
            <w:r w:rsidRPr="00A76890">
              <w:t>-</w:t>
            </w:r>
          </w:p>
        </w:tc>
        <w:tc>
          <w:tcPr>
            <w:tcW w:w="706" w:type="pct"/>
            <w:tcBorders>
              <w:left w:val="nil"/>
              <w:bottom w:val="nil"/>
              <w:right w:val="nil"/>
            </w:tcBorders>
            <w:shd w:val="clear" w:color="auto" w:fill="auto"/>
            <w:noWrap/>
            <w:vAlign w:val="bottom"/>
          </w:tcPr>
          <w:p w:rsidR="008B13B1" w:rsidRPr="00A76890" w:rsidRDefault="008B13B1" w:rsidP="00704CC0">
            <w:pPr>
              <w:pStyle w:val="Normal-Table"/>
              <w:tabs>
                <w:tab w:val="left" w:pos="567"/>
                <w:tab w:val="left" w:pos="1134"/>
                <w:tab w:val="left" w:pos="1701"/>
                <w:tab w:val="left" w:pos="2268"/>
              </w:tabs>
              <w:jc w:val="right"/>
            </w:pPr>
            <w:r w:rsidRPr="00A76890">
              <w:t>(1,239)</w:t>
            </w:r>
          </w:p>
        </w:tc>
      </w:tr>
      <w:tr w:rsidR="00A87EA8" w:rsidRPr="00A76890" w:rsidTr="00562F9C">
        <w:trPr>
          <w:trHeight w:val="20"/>
        </w:trPr>
        <w:tc>
          <w:tcPr>
            <w:tcW w:w="1538" w:type="pct"/>
            <w:tcBorders>
              <w:top w:val="nil"/>
              <w:left w:val="nil"/>
              <w:bottom w:val="nil"/>
              <w:right w:val="nil"/>
            </w:tcBorders>
            <w:shd w:val="clear" w:color="auto" w:fill="auto"/>
          </w:tcPr>
          <w:p w:rsidR="00F35970" w:rsidRPr="00A76890" w:rsidRDefault="00F35970" w:rsidP="00704CC0">
            <w:pPr>
              <w:pStyle w:val="Normal-Table"/>
              <w:tabs>
                <w:tab w:val="left" w:pos="567"/>
                <w:tab w:val="left" w:pos="1134"/>
                <w:tab w:val="left" w:pos="1701"/>
                <w:tab w:val="left" w:pos="2268"/>
              </w:tabs>
            </w:pPr>
            <w:r w:rsidRPr="00A76890">
              <w:t>Mahindra CIE Automotive Limited*</w:t>
            </w:r>
          </w:p>
        </w:tc>
        <w:tc>
          <w:tcPr>
            <w:tcW w:w="672" w:type="pct"/>
            <w:tcBorders>
              <w:top w:val="nil"/>
              <w:left w:val="nil"/>
              <w:bottom w:val="nil"/>
              <w:right w:val="nil"/>
            </w:tcBorders>
            <w:shd w:val="clear" w:color="auto" w:fill="auto"/>
            <w:noWrap/>
            <w:vAlign w:val="bottom"/>
          </w:tcPr>
          <w:p w:rsidR="00F35970" w:rsidRPr="00A76890" w:rsidRDefault="00F35970" w:rsidP="00704CC0">
            <w:pPr>
              <w:pStyle w:val="Normal-Table"/>
              <w:tabs>
                <w:tab w:val="left" w:pos="567"/>
                <w:tab w:val="left" w:pos="1134"/>
                <w:tab w:val="left" w:pos="1701"/>
                <w:tab w:val="left" w:pos="2268"/>
              </w:tabs>
              <w:jc w:val="right"/>
            </w:pPr>
            <w:r w:rsidRPr="00A76890">
              <w:t>Automotive</w:t>
            </w:r>
          </w:p>
        </w:tc>
        <w:tc>
          <w:tcPr>
            <w:tcW w:w="672" w:type="pct"/>
            <w:tcBorders>
              <w:top w:val="nil"/>
              <w:left w:val="nil"/>
              <w:bottom w:val="nil"/>
              <w:right w:val="nil"/>
            </w:tcBorders>
            <w:shd w:val="clear" w:color="auto" w:fill="auto"/>
            <w:vAlign w:val="bottom"/>
          </w:tcPr>
          <w:p w:rsidR="00F35970" w:rsidRPr="00A76890" w:rsidRDefault="00F35970" w:rsidP="00704CC0">
            <w:pPr>
              <w:pStyle w:val="Normal-Table"/>
              <w:tabs>
                <w:tab w:val="left" w:pos="567"/>
                <w:tab w:val="left" w:pos="1134"/>
                <w:tab w:val="left" w:pos="1701"/>
                <w:tab w:val="left" w:pos="2268"/>
              </w:tabs>
              <w:jc w:val="right"/>
            </w:pPr>
            <w:r w:rsidRPr="00A76890">
              <w:t>Listed</w:t>
            </w:r>
          </w:p>
        </w:tc>
        <w:tc>
          <w:tcPr>
            <w:tcW w:w="706" w:type="pct"/>
            <w:tcBorders>
              <w:top w:val="nil"/>
              <w:left w:val="nil"/>
              <w:bottom w:val="nil"/>
              <w:right w:val="nil"/>
            </w:tcBorders>
            <w:shd w:val="clear" w:color="auto" w:fill="auto"/>
            <w:noWrap/>
            <w:vAlign w:val="bottom"/>
          </w:tcPr>
          <w:p w:rsidR="00F35970" w:rsidRPr="00A76890" w:rsidRDefault="00F35970" w:rsidP="00704CC0">
            <w:pPr>
              <w:pStyle w:val="Normal-Table"/>
              <w:tabs>
                <w:tab w:val="left" w:pos="567"/>
                <w:tab w:val="left" w:pos="1134"/>
                <w:tab w:val="left" w:pos="1701"/>
                <w:tab w:val="left" w:pos="2268"/>
              </w:tabs>
              <w:jc w:val="right"/>
            </w:pPr>
            <w:r w:rsidRPr="00A76890">
              <w:t xml:space="preserve">4,809 </w:t>
            </w:r>
          </w:p>
        </w:tc>
        <w:tc>
          <w:tcPr>
            <w:tcW w:w="706" w:type="pct"/>
            <w:tcBorders>
              <w:top w:val="nil"/>
              <w:left w:val="nil"/>
              <w:bottom w:val="nil"/>
              <w:right w:val="nil"/>
            </w:tcBorders>
            <w:vAlign w:val="bottom"/>
          </w:tcPr>
          <w:p w:rsidR="00F35970" w:rsidRPr="00A76890" w:rsidRDefault="00F35970" w:rsidP="00704CC0">
            <w:pPr>
              <w:pStyle w:val="Normal-Table"/>
              <w:tabs>
                <w:tab w:val="left" w:pos="567"/>
                <w:tab w:val="left" w:pos="1134"/>
                <w:tab w:val="left" w:pos="1701"/>
                <w:tab w:val="left" w:pos="2268"/>
              </w:tabs>
              <w:jc w:val="right"/>
            </w:pPr>
            <w:r w:rsidRPr="00A76890">
              <w:t>1,656</w:t>
            </w:r>
          </w:p>
        </w:tc>
        <w:tc>
          <w:tcPr>
            <w:tcW w:w="706" w:type="pct"/>
            <w:tcBorders>
              <w:top w:val="nil"/>
              <w:left w:val="nil"/>
              <w:bottom w:val="nil"/>
              <w:right w:val="nil"/>
            </w:tcBorders>
            <w:shd w:val="clear" w:color="auto" w:fill="auto"/>
            <w:noWrap/>
            <w:vAlign w:val="bottom"/>
          </w:tcPr>
          <w:p w:rsidR="00F35970" w:rsidRPr="00A76890" w:rsidRDefault="00F35970" w:rsidP="00704CC0">
            <w:pPr>
              <w:pStyle w:val="Normal-Table"/>
              <w:tabs>
                <w:tab w:val="left" w:pos="567"/>
                <w:tab w:val="left" w:pos="1134"/>
                <w:tab w:val="left" w:pos="1701"/>
                <w:tab w:val="left" w:pos="2268"/>
              </w:tabs>
              <w:jc w:val="right"/>
            </w:pPr>
            <w:r w:rsidRPr="00A76890">
              <w:t>(3,153)</w:t>
            </w:r>
          </w:p>
        </w:tc>
      </w:tr>
      <w:tr w:rsidR="00A87EA8" w:rsidRPr="00A76890" w:rsidTr="00562F9C">
        <w:trPr>
          <w:trHeight w:val="20"/>
        </w:trPr>
        <w:tc>
          <w:tcPr>
            <w:tcW w:w="1538" w:type="pct"/>
            <w:tcBorders>
              <w:top w:val="nil"/>
              <w:left w:val="nil"/>
              <w:bottom w:val="nil"/>
              <w:right w:val="nil"/>
            </w:tcBorders>
            <w:shd w:val="clear" w:color="auto" w:fill="auto"/>
            <w:noWrap/>
          </w:tcPr>
          <w:p w:rsidR="00F35970" w:rsidRPr="00A76890" w:rsidRDefault="00F35970" w:rsidP="00704CC0">
            <w:pPr>
              <w:pStyle w:val="Normal-Table"/>
              <w:tabs>
                <w:tab w:val="left" w:pos="567"/>
                <w:tab w:val="left" w:pos="1134"/>
                <w:tab w:val="left" w:pos="1701"/>
                <w:tab w:val="left" w:pos="2268"/>
              </w:tabs>
            </w:pPr>
            <w:r w:rsidRPr="00A76890">
              <w:t>Nitco Limited</w:t>
            </w:r>
          </w:p>
        </w:tc>
        <w:tc>
          <w:tcPr>
            <w:tcW w:w="672" w:type="pct"/>
            <w:tcBorders>
              <w:top w:val="nil"/>
              <w:left w:val="nil"/>
              <w:bottom w:val="nil"/>
              <w:right w:val="nil"/>
            </w:tcBorders>
            <w:shd w:val="clear" w:color="auto" w:fill="auto"/>
            <w:noWrap/>
            <w:vAlign w:val="bottom"/>
          </w:tcPr>
          <w:p w:rsidR="00F35970" w:rsidRPr="00A76890" w:rsidRDefault="00F35970" w:rsidP="00704CC0">
            <w:pPr>
              <w:pStyle w:val="Normal-Table"/>
              <w:tabs>
                <w:tab w:val="left" w:pos="567"/>
                <w:tab w:val="left" w:pos="1134"/>
                <w:tab w:val="left" w:pos="1701"/>
                <w:tab w:val="left" w:pos="2268"/>
              </w:tabs>
              <w:jc w:val="right"/>
            </w:pPr>
            <w:r w:rsidRPr="00A76890">
              <w:t>Building materials</w:t>
            </w:r>
          </w:p>
        </w:tc>
        <w:tc>
          <w:tcPr>
            <w:tcW w:w="672" w:type="pct"/>
            <w:tcBorders>
              <w:top w:val="nil"/>
              <w:left w:val="nil"/>
              <w:bottom w:val="nil"/>
              <w:right w:val="nil"/>
            </w:tcBorders>
            <w:shd w:val="clear" w:color="auto" w:fill="auto"/>
            <w:vAlign w:val="bottom"/>
          </w:tcPr>
          <w:p w:rsidR="00F35970" w:rsidRPr="00A76890" w:rsidRDefault="00F35970" w:rsidP="00704CC0">
            <w:pPr>
              <w:pStyle w:val="Normal-Table"/>
              <w:tabs>
                <w:tab w:val="left" w:pos="567"/>
                <w:tab w:val="left" w:pos="1134"/>
                <w:tab w:val="left" w:pos="1701"/>
                <w:tab w:val="left" w:pos="2268"/>
              </w:tabs>
              <w:jc w:val="right"/>
            </w:pPr>
            <w:r w:rsidRPr="00A76890">
              <w:t>Listed</w:t>
            </w:r>
          </w:p>
        </w:tc>
        <w:tc>
          <w:tcPr>
            <w:tcW w:w="706" w:type="pct"/>
            <w:tcBorders>
              <w:top w:val="nil"/>
              <w:left w:val="nil"/>
              <w:bottom w:val="nil"/>
              <w:right w:val="nil"/>
            </w:tcBorders>
            <w:shd w:val="clear" w:color="auto" w:fill="auto"/>
            <w:noWrap/>
            <w:vAlign w:val="bottom"/>
          </w:tcPr>
          <w:p w:rsidR="00F35970" w:rsidRPr="00A76890" w:rsidRDefault="00F35970" w:rsidP="00704CC0">
            <w:pPr>
              <w:pStyle w:val="Normal-Table"/>
              <w:tabs>
                <w:tab w:val="left" w:pos="567"/>
                <w:tab w:val="left" w:pos="1134"/>
                <w:tab w:val="left" w:pos="1701"/>
                <w:tab w:val="left" w:pos="2268"/>
              </w:tabs>
              <w:jc w:val="right"/>
            </w:pPr>
            <w:r w:rsidRPr="00A76890">
              <w:t xml:space="preserve">1,393 </w:t>
            </w:r>
          </w:p>
        </w:tc>
        <w:tc>
          <w:tcPr>
            <w:tcW w:w="706" w:type="pct"/>
            <w:tcBorders>
              <w:top w:val="nil"/>
              <w:left w:val="nil"/>
              <w:bottom w:val="nil"/>
              <w:right w:val="nil"/>
            </w:tcBorders>
            <w:vAlign w:val="bottom"/>
          </w:tcPr>
          <w:p w:rsidR="00F35970" w:rsidRPr="00A76890" w:rsidRDefault="00F35970" w:rsidP="00704CC0">
            <w:pPr>
              <w:pStyle w:val="Normal-Table"/>
              <w:tabs>
                <w:tab w:val="left" w:pos="567"/>
                <w:tab w:val="left" w:pos="1134"/>
                <w:tab w:val="left" w:pos="1701"/>
                <w:tab w:val="left" w:pos="2268"/>
              </w:tabs>
              <w:jc w:val="right"/>
            </w:pPr>
            <w:r w:rsidRPr="00A76890">
              <w:t>219</w:t>
            </w:r>
          </w:p>
        </w:tc>
        <w:tc>
          <w:tcPr>
            <w:tcW w:w="706" w:type="pct"/>
            <w:tcBorders>
              <w:top w:val="nil"/>
              <w:left w:val="nil"/>
              <w:bottom w:val="nil"/>
              <w:right w:val="nil"/>
            </w:tcBorders>
            <w:shd w:val="clear" w:color="auto" w:fill="auto"/>
            <w:noWrap/>
            <w:vAlign w:val="bottom"/>
          </w:tcPr>
          <w:p w:rsidR="00F35970" w:rsidRPr="00A76890" w:rsidRDefault="00F35970" w:rsidP="00704CC0">
            <w:pPr>
              <w:pStyle w:val="Normal-Table"/>
              <w:tabs>
                <w:tab w:val="left" w:pos="567"/>
                <w:tab w:val="left" w:pos="1134"/>
                <w:tab w:val="left" w:pos="1701"/>
                <w:tab w:val="left" w:pos="2268"/>
              </w:tabs>
              <w:jc w:val="right"/>
            </w:pPr>
            <w:r w:rsidRPr="00A76890">
              <w:t>(1,174)</w:t>
            </w:r>
          </w:p>
        </w:tc>
      </w:tr>
      <w:tr w:rsidR="00A87EA8" w:rsidRPr="00A76890" w:rsidTr="00562F9C">
        <w:trPr>
          <w:trHeight w:val="20"/>
        </w:trPr>
        <w:tc>
          <w:tcPr>
            <w:tcW w:w="1538" w:type="pct"/>
            <w:tcBorders>
              <w:top w:val="single" w:sz="4" w:space="0" w:color="auto"/>
              <w:left w:val="nil"/>
              <w:bottom w:val="single" w:sz="8" w:space="0" w:color="auto"/>
              <w:right w:val="nil"/>
            </w:tcBorders>
            <w:shd w:val="clear" w:color="auto" w:fill="auto"/>
            <w:noWrap/>
            <w:vAlign w:val="center"/>
          </w:tcPr>
          <w:p w:rsidR="00F35970" w:rsidRPr="00A76890" w:rsidRDefault="00F35970" w:rsidP="00704CC0">
            <w:pPr>
              <w:pStyle w:val="Normal-Table"/>
              <w:tabs>
                <w:tab w:val="left" w:pos="567"/>
                <w:tab w:val="left" w:pos="1134"/>
                <w:tab w:val="left" w:pos="1701"/>
                <w:tab w:val="left" w:pos="2268"/>
              </w:tabs>
            </w:pPr>
            <w:r w:rsidRPr="00A76890">
              <w:t>Total</w:t>
            </w:r>
          </w:p>
        </w:tc>
        <w:tc>
          <w:tcPr>
            <w:tcW w:w="672" w:type="pct"/>
            <w:tcBorders>
              <w:top w:val="single" w:sz="4" w:space="0" w:color="auto"/>
              <w:left w:val="nil"/>
              <w:bottom w:val="single" w:sz="8" w:space="0" w:color="auto"/>
              <w:right w:val="nil"/>
            </w:tcBorders>
            <w:shd w:val="clear" w:color="auto" w:fill="auto"/>
            <w:noWrap/>
            <w:vAlign w:val="bottom"/>
          </w:tcPr>
          <w:p w:rsidR="00F35970" w:rsidRPr="00A76890" w:rsidRDefault="00F35970" w:rsidP="00704CC0">
            <w:pPr>
              <w:pStyle w:val="Normal-Table"/>
              <w:tabs>
                <w:tab w:val="left" w:pos="567"/>
                <w:tab w:val="left" w:pos="1134"/>
                <w:tab w:val="left" w:pos="1701"/>
                <w:tab w:val="left" w:pos="2268"/>
              </w:tabs>
              <w:jc w:val="right"/>
            </w:pPr>
            <w:r w:rsidRPr="00A76890">
              <w:t> </w:t>
            </w:r>
          </w:p>
        </w:tc>
        <w:tc>
          <w:tcPr>
            <w:tcW w:w="672" w:type="pct"/>
            <w:tcBorders>
              <w:top w:val="single" w:sz="4" w:space="0" w:color="auto"/>
              <w:left w:val="nil"/>
              <w:bottom w:val="single" w:sz="8" w:space="0" w:color="auto"/>
              <w:right w:val="nil"/>
            </w:tcBorders>
            <w:shd w:val="clear" w:color="auto" w:fill="auto"/>
            <w:vAlign w:val="bottom"/>
          </w:tcPr>
          <w:p w:rsidR="00F35970" w:rsidRPr="00A76890" w:rsidRDefault="00F35970" w:rsidP="00704CC0">
            <w:pPr>
              <w:pStyle w:val="Normal-Table"/>
              <w:tabs>
                <w:tab w:val="left" w:pos="567"/>
                <w:tab w:val="left" w:pos="1134"/>
                <w:tab w:val="left" w:pos="1701"/>
                <w:tab w:val="left" w:pos="2268"/>
              </w:tabs>
              <w:jc w:val="right"/>
            </w:pPr>
            <w:r w:rsidRPr="00A76890">
              <w:t> </w:t>
            </w:r>
          </w:p>
        </w:tc>
        <w:tc>
          <w:tcPr>
            <w:tcW w:w="706" w:type="pct"/>
            <w:tcBorders>
              <w:top w:val="single" w:sz="4" w:space="0" w:color="auto"/>
              <w:left w:val="nil"/>
              <w:bottom w:val="single" w:sz="8" w:space="0" w:color="auto"/>
              <w:right w:val="nil"/>
            </w:tcBorders>
            <w:shd w:val="clear" w:color="auto" w:fill="auto"/>
            <w:noWrap/>
            <w:vAlign w:val="bottom"/>
          </w:tcPr>
          <w:p w:rsidR="00F35970" w:rsidRPr="00A76890" w:rsidRDefault="008B13B1" w:rsidP="00704CC0">
            <w:pPr>
              <w:pStyle w:val="Normal-Table"/>
              <w:tabs>
                <w:tab w:val="left" w:pos="567"/>
                <w:tab w:val="left" w:pos="1134"/>
                <w:tab w:val="left" w:pos="1701"/>
                <w:tab w:val="left" w:pos="2268"/>
              </w:tabs>
              <w:jc w:val="right"/>
            </w:pPr>
            <w:r w:rsidRPr="00A76890">
              <w:t>20</w:t>
            </w:r>
            <w:r w:rsidR="00F35970" w:rsidRPr="00A76890">
              <w:t>,</w:t>
            </w:r>
            <w:r w:rsidRPr="00A76890">
              <w:t>397</w:t>
            </w:r>
          </w:p>
        </w:tc>
        <w:tc>
          <w:tcPr>
            <w:tcW w:w="706" w:type="pct"/>
            <w:tcBorders>
              <w:top w:val="single" w:sz="4" w:space="0" w:color="auto"/>
              <w:left w:val="nil"/>
              <w:bottom w:val="single" w:sz="8" w:space="0" w:color="auto"/>
              <w:right w:val="nil"/>
            </w:tcBorders>
            <w:vAlign w:val="bottom"/>
          </w:tcPr>
          <w:p w:rsidR="00F35970" w:rsidRPr="00A76890" w:rsidRDefault="00F35970" w:rsidP="00704CC0">
            <w:pPr>
              <w:pStyle w:val="Normal-Table"/>
              <w:tabs>
                <w:tab w:val="left" w:pos="567"/>
                <w:tab w:val="left" w:pos="1134"/>
                <w:tab w:val="left" w:pos="1701"/>
                <w:tab w:val="left" w:pos="2268"/>
              </w:tabs>
              <w:jc w:val="right"/>
            </w:pPr>
            <w:r w:rsidRPr="00A76890">
              <w:t>6,75</w:t>
            </w:r>
            <w:r w:rsidR="004805D1" w:rsidRPr="00A76890">
              <w:t>0</w:t>
            </w:r>
          </w:p>
        </w:tc>
        <w:tc>
          <w:tcPr>
            <w:tcW w:w="706" w:type="pct"/>
            <w:tcBorders>
              <w:top w:val="single" w:sz="4" w:space="0" w:color="auto"/>
              <w:left w:val="nil"/>
              <w:bottom w:val="single" w:sz="8" w:space="0" w:color="auto"/>
              <w:right w:val="nil"/>
            </w:tcBorders>
            <w:shd w:val="clear" w:color="auto" w:fill="auto"/>
            <w:noWrap/>
            <w:vAlign w:val="bottom"/>
          </w:tcPr>
          <w:p w:rsidR="00F35970" w:rsidRPr="00A76890" w:rsidRDefault="00F35970" w:rsidP="00704CC0">
            <w:pPr>
              <w:pStyle w:val="Normal-Table"/>
              <w:tabs>
                <w:tab w:val="left" w:pos="567"/>
                <w:tab w:val="left" w:pos="1134"/>
                <w:tab w:val="left" w:pos="1701"/>
                <w:tab w:val="left" w:pos="2268"/>
              </w:tabs>
              <w:jc w:val="right"/>
            </w:pPr>
            <w:r w:rsidRPr="00A76890">
              <w:t>(1</w:t>
            </w:r>
            <w:r w:rsidR="008B13B1" w:rsidRPr="00A76890">
              <w:t>3</w:t>
            </w:r>
            <w:r w:rsidRPr="00A76890">
              <w:t>,</w:t>
            </w:r>
            <w:r w:rsidR="008B13B1" w:rsidRPr="00A76890">
              <w:t>647</w:t>
            </w:r>
            <w:r w:rsidRPr="00A76890">
              <w:t>)</w:t>
            </w:r>
          </w:p>
        </w:tc>
      </w:tr>
    </w:tbl>
    <w:p w:rsidR="00F35970" w:rsidRPr="00A76890" w:rsidRDefault="00F35970" w:rsidP="00704CC0">
      <w:pPr>
        <w:pStyle w:val="Normal3-Sub-para"/>
        <w:tabs>
          <w:tab w:val="left" w:pos="567"/>
          <w:tab w:val="left" w:pos="1134"/>
          <w:tab w:val="left" w:pos="1701"/>
          <w:tab w:val="left" w:pos="2268"/>
        </w:tabs>
        <w:spacing w:line="240" w:lineRule="auto"/>
      </w:pPr>
      <w:r w:rsidRPr="00A76890">
        <w:t>The valuations of the above are in accordance with International Financial Reporting Standards and International Private Equity and Venture Capital Association guidelines. All investments are held at fair value through profit or loss and are recognised at the transaction date on initial recognition.</w:t>
      </w:r>
    </w:p>
    <w:p w:rsidR="00F35970" w:rsidRPr="00A76890" w:rsidRDefault="00224561" w:rsidP="00704CC0">
      <w:pPr>
        <w:pStyle w:val="Normal3-Sub-para"/>
        <w:tabs>
          <w:tab w:val="left" w:pos="567"/>
          <w:tab w:val="left" w:pos="1134"/>
          <w:tab w:val="left" w:pos="1701"/>
          <w:tab w:val="left" w:pos="2268"/>
        </w:tabs>
        <w:spacing w:line="240" w:lineRule="auto"/>
      </w:pPr>
      <w:r>
        <w:t xml:space="preserve">* </w:t>
      </w:r>
      <w:r w:rsidR="00F35970" w:rsidRPr="00A76890">
        <w:t>Part of the investment in Mahindra CIE Automotive Limited is held via an intermediary holding company, Elephant Capital 1 Limited (Mauritius).</w:t>
      </w:r>
    </w:p>
    <w:p w:rsidR="00F35970" w:rsidRPr="00A76890" w:rsidRDefault="00F35970" w:rsidP="00704CC0">
      <w:pPr>
        <w:pStyle w:val="Heading2-Para"/>
      </w:pPr>
      <w:r w:rsidRPr="00A76890">
        <w:t>Realisations</w:t>
      </w:r>
    </w:p>
    <w:p w:rsidR="00F35970" w:rsidRPr="00A76890" w:rsidRDefault="00F35970" w:rsidP="00704CC0">
      <w:pPr>
        <w:pStyle w:val="Normal2-Para"/>
        <w:tabs>
          <w:tab w:val="left" w:pos="567"/>
          <w:tab w:val="left" w:pos="1134"/>
          <w:tab w:val="left" w:pos="1701"/>
          <w:tab w:val="left" w:pos="2268"/>
        </w:tabs>
        <w:spacing w:line="240" w:lineRule="auto"/>
      </w:pPr>
      <w:r w:rsidRPr="00A76890">
        <w:t xml:space="preserve">Post </w:t>
      </w:r>
      <w:r w:rsidR="00941132" w:rsidRPr="00A76890">
        <w:t xml:space="preserve">the </w:t>
      </w:r>
      <w:r w:rsidRPr="00A76890">
        <w:t xml:space="preserve">year end, the Company sold circa 65% of its holdings in MCAL for GBP 1.42 million. </w:t>
      </w:r>
    </w:p>
    <w:p w:rsidR="00F35970" w:rsidRPr="00A76890" w:rsidRDefault="00F35970" w:rsidP="00704CC0">
      <w:pPr>
        <w:pStyle w:val="Heading2-Para"/>
      </w:pPr>
      <w:r w:rsidRPr="00A76890">
        <w:t>Principles of valuations of investments</w:t>
      </w:r>
    </w:p>
    <w:p w:rsidR="00F35970" w:rsidRPr="00A76890" w:rsidRDefault="00F35970" w:rsidP="00704CC0">
      <w:pPr>
        <w:pStyle w:val="Heading3-Sub-para"/>
      </w:pPr>
      <w:r w:rsidRPr="00A76890">
        <w:t>Principles of valuation of unlisted investments</w:t>
      </w:r>
    </w:p>
    <w:p w:rsidR="00F35970" w:rsidRPr="00A76890" w:rsidRDefault="00F35970" w:rsidP="00704CC0">
      <w:pPr>
        <w:pStyle w:val="Normal3-Sub-para"/>
        <w:tabs>
          <w:tab w:val="left" w:pos="567"/>
          <w:tab w:val="left" w:pos="1134"/>
          <w:tab w:val="left" w:pos="1701"/>
          <w:tab w:val="left" w:pos="2268"/>
        </w:tabs>
        <w:spacing w:line="240" w:lineRule="auto"/>
      </w:pPr>
      <w:r w:rsidRPr="00A76890">
        <w:t xml:space="preserve">Investments are stated at amounts considered by the </w:t>
      </w:r>
      <w:r w:rsidR="009802C2" w:rsidRPr="00A76890">
        <w:t>D</w:t>
      </w:r>
      <w:r w:rsidRPr="00A76890">
        <w:t>irectors to be a reasonable assessment of their fair value, where fair value is the amount at which an asset could be exchanged between knowledgeable, willing parties in an arm's length transaction.</w:t>
      </w:r>
    </w:p>
    <w:p w:rsidR="00F35970" w:rsidRPr="00A76890" w:rsidRDefault="00F35970" w:rsidP="00704CC0">
      <w:pPr>
        <w:pStyle w:val="Normal3-Sub-para"/>
        <w:tabs>
          <w:tab w:val="left" w:pos="567"/>
          <w:tab w:val="left" w:pos="1134"/>
          <w:tab w:val="left" w:pos="1701"/>
          <w:tab w:val="left" w:pos="2268"/>
        </w:tabs>
        <w:spacing w:line="240" w:lineRule="auto"/>
      </w:pPr>
      <w:r w:rsidRPr="00A76890">
        <w:t>All investments are valued according to one of the following bases:</w:t>
      </w:r>
    </w:p>
    <w:p w:rsidR="00F35970" w:rsidRPr="00A76890" w:rsidRDefault="00F35970" w:rsidP="00704CC0">
      <w:pPr>
        <w:pStyle w:val="Bullet1"/>
        <w:numPr>
          <w:ilvl w:val="0"/>
          <w:numId w:val="9"/>
        </w:numPr>
        <w:tabs>
          <w:tab w:val="left" w:pos="567"/>
          <w:tab w:val="left" w:pos="1134"/>
          <w:tab w:val="left" w:pos="1701"/>
          <w:tab w:val="left" w:pos="2268"/>
        </w:tabs>
        <w:spacing w:line="240" w:lineRule="auto"/>
        <w:ind w:left="567" w:hanging="567"/>
      </w:pPr>
      <w:r w:rsidRPr="00A76890">
        <w:t>Cost (less any provision required)</w:t>
      </w:r>
    </w:p>
    <w:p w:rsidR="00F35970" w:rsidRPr="00A76890" w:rsidRDefault="00F35970" w:rsidP="00704CC0">
      <w:pPr>
        <w:pStyle w:val="Bullet1"/>
        <w:numPr>
          <w:ilvl w:val="0"/>
          <w:numId w:val="9"/>
        </w:numPr>
        <w:tabs>
          <w:tab w:val="left" w:pos="567"/>
          <w:tab w:val="left" w:pos="1134"/>
          <w:tab w:val="left" w:pos="1701"/>
          <w:tab w:val="left" w:pos="2268"/>
        </w:tabs>
        <w:spacing w:line="240" w:lineRule="auto"/>
        <w:ind w:left="567" w:hanging="567"/>
      </w:pPr>
      <w:r w:rsidRPr="00A76890">
        <w:t xml:space="preserve">Price of recent transaction </w:t>
      </w:r>
    </w:p>
    <w:p w:rsidR="00F35970" w:rsidRPr="00A76890" w:rsidRDefault="00F35970" w:rsidP="00704CC0">
      <w:pPr>
        <w:pStyle w:val="Bullet1"/>
        <w:numPr>
          <w:ilvl w:val="0"/>
          <w:numId w:val="9"/>
        </w:numPr>
        <w:tabs>
          <w:tab w:val="left" w:pos="567"/>
          <w:tab w:val="left" w:pos="1134"/>
          <w:tab w:val="left" w:pos="1701"/>
          <w:tab w:val="left" w:pos="2268"/>
        </w:tabs>
        <w:spacing w:line="240" w:lineRule="auto"/>
        <w:ind w:left="567" w:hanging="567"/>
      </w:pPr>
      <w:r w:rsidRPr="00A76890">
        <w:t>Discounted cash flows or earnings (of underlying businesses)</w:t>
      </w:r>
    </w:p>
    <w:p w:rsidR="00F35970" w:rsidRPr="00A76890" w:rsidRDefault="00F35970" w:rsidP="00704CC0">
      <w:pPr>
        <w:pStyle w:val="Bullet1"/>
        <w:numPr>
          <w:ilvl w:val="0"/>
          <w:numId w:val="9"/>
        </w:numPr>
        <w:tabs>
          <w:tab w:val="left" w:pos="567"/>
          <w:tab w:val="left" w:pos="1134"/>
          <w:tab w:val="left" w:pos="1701"/>
          <w:tab w:val="left" w:pos="2268"/>
        </w:tabs>
        <w:spacing w:line="240" w:lineRule="auto"/>
        <w:ind w:left="567" w:hanging="567"/>
      </w:pPr>
      <w:r w:rsidRPr="00A76890">
        <w:t>Earnings multiple</w:t>
      </w:r>
    </w:p>
    <w:p w:rsidR="00F35970" w:rsidRPr="00A76890" w:rsidRDefault="00F35970" w:rsidP="00704CC0">
      <w:pPr>
        <w:pStyle w:val="Bullet1"/>
        <w:numPr>
          <w:ilvl w:val="0"/>
          <w:numId w:val="9"/>
        </w:numPr>
        <w:tabs>
          <w:tab w:val="left" w:pos="567"/>
          <w:tab w:val="left" w:pos="1134"/>
          <w:tab w:val="left" w:pos="1701"/>
          <w:tab w:val="left" w:pos="2268"/>
        </w:tabs>
        <w:spacing w:line="240" w:lineRule="auto"/>
        <w:ind w:left="567" w:hanging="567"/>
      </w:pPr>
      <w:r w:rsidRPr="00A76890">
        <w:t>Net assets</w:t>
      </w:r>
    </w:p>
    <w:p w:rsidR="00F35970" w:rsidRPr="00A76890" w:rsidRDefault="00F35970" w:rsidP="00704CC0">
      <w:pPr>
        <w:pStyle w:val="Bullet1"/>
        <w:numPr>
          <w:ilvl w:val="0"/>
          <w:numId w:val="9"/>
        </w:numPr>
        <w:tabs>
          <w:tab w:val="left" w:pos="567"/>
          <w:tab w:val="left" w:pos="1134"/>
          <w:tab w:val="left" w:pos="1701"/>
          <w:tab w:val="left" w:pos="2268"/>
        </w:tabs>
        <w:spacing w:line="240" w:lineRule="auto"/>
        <w:ind w:left="567" w:hanging="567"/>
      </w:pPr>
      <w:r w:rsidRPr="00A76890">
        <w:t>Sale price</w:t>
      </w:r>
    </w:p>
    <w:p w:rsidR="00F35970" w:rsidRPr="00A76890" w:rsidRDefault="00F35970" w:rsidP="00704CC0">
      <w:pPr>
        <w:pStyle w:val="Normal3-Sub-para"/>
        <w:tabs>
          <w:tab w:val="left" w:pos="567"/>
          <w:tab w:val="left" w:pos="1134"/>
          <w:tab w:val="left" w:pos="1701"/>
          <w:tab w:val="left" w:pos="2268"/>
        </w:tabs>
        <w:spacing w:line="240" w:lineRule="auto"/>
      </w:pPr>
      <w:r w:rsidRPr="00A76890">
        <w:t>Investments are valued at cost for a limited period after the date of acquisition. Thereafter, investments are valued on one of the other bases described above and the earnings multiple basis of valuation will be used unless this is inappropriate, as in the case of certain asset</w:t>
      </w:r>
      <w:r w:rsidR="001A5CF7" w:rsidRPr="00A76890">
        <w:t>-</w:t>
      </w:r>
      <w:r w:rsidRPr="00A76890">
        <w:t>based businesses.</w:t>
      </w:r>
    </w:p>
    <w:p w:rsidR="00F35970" w:rsidRPr="00A76890" w:rsidRDefault="00F35970" w:rsidP="00704CC0">
      <w:pPr>
        <w:pStyle w:val="Normal3-Sub-para"/>
        <w:tabs>
          <w:tab w:val="left" w:pos="567"/>
          <w:tab w:val="left" w:pos="1134"/>
          <w:tab w:val="left" w:pos="1701"/>
          <w:tab w:val="left" w:pos="2268"/>
        </w:tabs>
        <w:spacing w:line="240" w:lineRule="auto"/>
      </w:pPr>
      <w:r w:rsidRPr="00A76890">
        <w:t>Under the discounted cash flow technique the projected cash flows from business operations are discounted at the “Weighted Average Cost of Capital” to the providers of capital to the business. The sum of the discounted value of such free cash flows is the value of the business.</w:t>
      </w:r>
    </w:p>
    <w:p w:rsidR="00F35970" w:rsidRPr="00A76890" w:rsidRDefault="00F35970" w:rsidP="00704CC0">
      <w:pPr>
        <w:pStyle w:val="Normal3-Sub-para"/>
        <w:tabs>
          <w:tab w:val="left" w:pos="567"/>
          <w:tab w:val="left" w:pos="1134"/>
          <w:tab w:val="left" w:pos="1701"/>
          <w:tab w:val="left" w:pos="2268"/>
        </w:tabs>
        <w:spacing w:line="240" w:lineRule="auto"/>
      </w:pPr>
      <w:r w:rsidRPr="00A76890">
        <w:t>When valuing on earnings multiple basis, earnings before interest, taxes, depreciation and amortisation (</w:t>
      </w:r>
      <w:r w:rsidR="009802C2" w:rsidRPr="00A76890">
        <w:t>“</w:t>
      </w:r>
      <w:r w:rsidRPr="00A76890">
        <w:t>EBITDA</w:t>
      </w:r>
      <w:r w:rsidR="009802C2" w:rsidRPr="00A76890">
        <w:t>”</w:t>
      </w:r>
      <w:r w:rsidRPr="00A76890">
        <w:t xml:space="preserve">) or net profit of the current year will normally be used. Such profits will be multiplied by an appropriate and reasonable earnings multiple (EBITDA multiple or net profit </w:t>
      </w:r>
      <w:r w:rsidRPr="00A76890">
        <w:lastRenderedPageBreak/>
        <w:t>multiple as the case may be). This is normally related to comparable quoted companies, with adjustments made for points of difference between the comparator and the company being valued, in particular for risks, size, illiquidity, earnings growth prospects and surplus assets or excess liabilities.</w:t>
      </w:r>
    </w:p>
    <w:p w:rsidR="00F35970" w:rsidRPr="00A76890" w:rsidRDefault="00F35970" w:rsidP="00704CC0">
      <w:pPr>
        <w:pStyle w:val="Normal3-Sub-para"/>
        <w:tabs>
          <w:tab w:val="left" w:pos="567"/>
          <w:tab w:val="left" w:pos="1134"/>
          <w:tab w:val="left" w:pos="1701"/>
          <w:tab w:val="left" w:pos="2268"/>
        </w:tabs>
        <w:spacing w:line="240" w:lineRule="auto"/>
      </w:pPr>
      <w:r w:rsidRPr="00A76890">
        <w:t>Where a company has incurred losses, or if comparable quoted companies are not primarily valued on an earnings basis, then the valuation may be calculated with regard to the underlying net assets and any other relevant information, such as the pricing for subsequent recent investments by a third party in a new financing round that is actively being sought, then any offers from potential purchasers would be relevant in assessing the valuation of an investment and are taken into account in arriving at the valuation</w:t>
      </w:r>
      <w:r w:rsidR="001A5CF7" w:rsidRPr="00A76890">
        <w:t>.</w:t>
      </w:r>
    </w:p>
    <w:p w:rsidR="00F35970" w:rsidRPr="00A76890" w:rsidRDefault="00F35970" w:rsidP="00704CC0">
      <w:pPr>
        <w:pStyle w:val="Normal3-Sub-para"/>
        <w:tabs>
          <w:tab w:val="left" w:pos="567"/>
          <w:tab w:val="left" w:pos="1134"/>
          <w:tab w:val="left" w:pos="1701"/>
          <w:tab w:val="left" w:pos="2268"/>
        </w:tabs>
        <w:spacing w:line="240" w:lineRule="auto"/>
      </w:pPr>
      <w:r w:rsidRPr="00A76890">
        <w:t>Where appropriate, a marketability discount (as reflected in the earnings’ multiple) may be applied to the investment valuation, based on the likely timing of an exit, the influence over that exit, the risk of achieving conditions precedent to that exit and general market conditions.</w:t>
      </w:r>
    </w:p>
    <w:p w:rsidR="00F35970" w:rsidRPr="00A76890" w:rsidRDefault="00F35970" w:rsidP="00704CC0">
      <w:pPr>
        <w:pStyle w:val="Normal3-Sub-para"/>
        <w:tabs>
          <w:tab w:val="left" w:pos="567"/>
          <w:tab w:val="left" w:pos="1134"/>
          <w:tab w:val="left" w:pos="1701"/>
          <w:tab w:val="left" w:pos="2268"/>
        </w:tabs>
        <w:spacing w:line="240" w:lineRule="auto"/>
      </w:pPr>
      <w:r w:rsidRPr="00A76890">
        <w:t>In arriving at the value of an investment, the percentage ownership is calculated after taking into account any dilution through outstanding warrants, options and performance related mechanisms.</w:t>
      </w:r>
    </w:p>
    <w:p w:rsidR="00F35970" w:rsidRPr="00A76890" w:rsidRDefault="00F35970" w:rsidP="00704CC0">
      <w:pPr>
        <w:pStyle w:val="Heading3-Sub-para"/>
      </w:pPr>
      <w:r w:rsidRPr="00A76890">
        <w:t>Principles of valuation of listed investments</w:t>
      </w:r>
    </w:p>
    <w:p w:rsidR="00F35970" w:rsidRPr="00A76890" w:rsidRDefault="00F35970" w:rsidP="00704CC0">
      <w:pPr>
        <w:pStyle w:val="Normal3-Sub-para"/>
        <w:tabs>
          <w:tab w:val="left" w:pos="567"/>
          <w:tab w:val="left" w:pos="1134"/>
          <w:tab w:val="left" w:pos="1701"/>
          <w:tab w:val="left" w:pos="2268"/>
        </w:tabs>
        <w:spacing w:line="240" w:lineRule="auto"/>
      </w:pPr>
      <w:r w:rsidRPr="00A76890">
        <w:t>Investments are valued at bid-market price or the conventions of the market on which they are quoted.</w:t>
      </w:r>
    </w:p>
    <w:p w:rsidR="00F35970" w:rsidRPr="00A76890" w:rsidRDefault="00F35970" w:rsidP="00704CC0">
      <w:pPr>
        <w:pStyle w:val="Heading3-Sub-para"/>
      </w:pPr>
      <w:r w:rsidRPr="00A76890">
        <w:t>Valuation review procedures</w:t>
      </w:r>
    </w:p>
    <w:p w:rsidR="00F35970" w:rsidRPr="00A76890" w:rsidRDefault="00F35970" w:rsidP="00704CC0">
      <w:pPr>
        <w:pStyle w:val="Normal3-Sub-para"/>
        <w:tabs>
          <w:tab w:val="left" w:pos="567"/>
          <w:tab w:val="left" w:pos="1134"/>
          <w:tab w:val="left" w:pos="1701"/>
          <w:tab w:val="left" w:pos="2268"/>
        </w:tabs>
        <w:spacing w:line="240" w:lineRule="auto"/>
      </w:pPr>
      <w:r w:rsidRPr="00A76890">
        <w:t xml:space="preserve">Valuations are initially prepared by the </w:t>
      </w:r>
      <w:r w:rsidR="000275CB" w:rsidRPr="00A76890">
        <w:t>Investment Manager</w:t>
      </w:r>
      <w:r w:rsidRPr="00A76890">
        <w:t xml:space="preserve">. These valuations are approved by the Directors and reviewed by </w:t>
      </w:r>
      <w:r w:rsidR="001A5CF7" w:rsidRPr="00A76890">
        <w:t xml:space="preserve">the Company’s </w:t>
      </w:r>
      <w:r w:rsidRPr="00A76890">
        <w:t>external auditors.</w:t>
      </w:r>
    </w:p>
    <w:p w:rsidR="00F35970" w:rsidRPr="00A76890" w:rsidRDefault="00F35970" w:rsidP="00704CC0">
      <w:pPr>
        <w:pStyle w:val="Heading3-Sub-para"/>
      </w:pPr>
      <w:r w:rsidRPr="00A76890">
        <w:t>Events after the reporting date</w:t>
      </w:r>
    </w:p>
    <w:p w:rsidR="00F35970" w:rsidRPr="00A76890" w:rsidRDefault="00A73C43" w:rsidP="00704CC0">
      <w:pPr>
        <w:pStyle w:val="Normal3-Sub-para"/>
        <w:tabs>
          <w:tab w:val="left" w:pos="567"/>
          <w:tab w:val="left" w:pos="1134"/>
          <w:tab w:val="left" w:pos="1701"/>
          <w:tab w:val="left" w:pos="2268"/>
        </w:tabs>
        <w:spacing w:line="240" w:lineRule="auto"/>
      </w:pPr>
      <w:r w:rsidRPr="00A76890">
        <w:rPr>
          <w:color w:val="000000"/>
        </w:rPr>
        <w:t>Subsequent to the year end, there has been an increase in the</w:t>
      </w:r>
      <w:r w:rsidRPr="00A76890">
        <w:t xml:space="preserve"> value of </w:t>
      </w:r>
      <w:r w:rsidR="00FB4413" w:rsidRPr="00A76890">
        <w:t xml:space="preserve">the </w:t>
      </w:r>
      <w:r w:rsidR="0020780F" w:rsidRPr="00A76890">
        <w:t xml:space="preserve">Group’s </w:t>
      </w:r>
      <w:r w:rsidRPr="00A76890">
        <w:t xml:space="preserve">listed investments, due to a gain in </w:t>
      </w:r>
      <w:r w:rsidR="0020780F" w:rsidRPr="00A76890">
        <w:t>stock prices of MCAL and</w:t>
      </w:r>
      <w:r w:rsidRPr="00A76890">
        <w:t xml:space="preserve"> Nitco</w:t>
      </w:r>
      <w:r w:rsidR="0020780F" w:rsidRPr="00A76890">
        <w:t xml:space="preserve"> and favourable exchange rate movements</w:t>
      </w:r>
      <w:r w:rsidR="00327322" w:rsidRPr="00A76890">
        <w:t xml:space="preserve">. This has decreased the unrealised losses by </w:t>
      </w:r>
      <w:r w:rsidRPr="00A76890">
        <w:t>GBP 0.</w:t>
      </w:r>
      <w:r w:rsidR="00F65275" w:rsidRPr="00A76890">
        <w:t>0</w:t>
      </w:r>
      <w:r w:rsidR="00314FD7" w:rsidRPr="00A76890">
        <w:t>6</w:t>
      </w:r>
      <w:r w:rsidR="00EF6C33" w:rsidRPr="00A76890">
        <w:t xml:space="preserve"> </w:t>
      </w:r>
      <w:r w:rsidR="00F4786D" w:rsidRPr="00A76890">
        <w:t>million.</w:t>
      </w:r>
      <w:r w:rsidRPr="00A76890">
        <w:t xml:space="preserve"> </w:t>
      </w:r>
    </w:p>
    <w:p w:rsidR="00F35970" w:rsidRPr="00A76890" w:rsidRDefault="00F35970" w:rsidP="00704CC0">
      <w:pPr>
        <w:pStyle w:val="Normal3-Sub-para"/>
        <w:tabs>
          <w:tab w:val="left" w:pos="567"/>
          <w:tab w:val="left" w:pos="1134"/>
          <w:tab w:val="left" w:pos="1701"/>
          <w:tab w:val="left" w:pos="2268"/>
        </w:tabs>
        <w:spacing w:line="240" w:lineRule="auto"/>
      </w:pPr>
      <w:r w:rsidRPr="00A76890">
        <w:t xml:space="preserve">Further details on events after the reporting date are disclosed in note </w:t>
      </w:r>
      <w:r w:rsidR="00C7595C" w:rsidRPr="00A76890">
        <w:t>25</w:t>
      </w:r>
      <w:r w:rsidRPr="00A76890">
        <w:t xml:space="preserve"> to the financial statements.</w:t>
      </w:r>
    </w:p>
    <w:p w:rsidR="00F35970" w:rsidRPr="00A76890" w:rsidRDefault="00F35970" w:rsidP="00704CC0">
      <w:pPr>
        <w:pStyle w:val="Normal2-Para"/>
        <w:tabs>
          <w:tab w:val="left" w:pos="567"/>
          <w:tab w:val="left" w:pos="1134"/>
          <w:tab w:val="left" w:pos="1701"/>
          <w:tab w:val="left" w:pos="2268"/>
        </w:tabs>
        <w:spacing w:before="240" w:line="240" w:lineRule="auto"/>
        <w:jc w:val="left"/>
      </w:pPr>
      <w:r w:rsidRPr="00A76890">
        <w:t>Gaurav Burman</w:t>
      </w:r>
      <w:r w:rsidR="004968F5">
        <w:br/>
      </w:r>
      <w:r w:rsidRPr="00A76890">
        <w:t>On behalf of Elephant Capital LLP</w:t>
      </w:r>
      <w:r w:rsidR="004968F5">
        <w:br/>
      </w:r>
      <w:r w:rsidR="00EF5A34" w:rsidRPr="00A76890">
        <w:t>26</w:t>
      </w:r>
      <w:r w:rsidRPr="00A76890">
        <w:t xml:space="preserve"> </w:t>
      </w:r>
      <w:r w:rsidR="00E27D07" w:rsidRPr="00A76890">
        <w:t>February 2014</w:t>
      </w:r>
    </w:p>
    <w:p w:rsidR="00140568" w:rsidRPr="00704CC0" w:rsidRDefault="00140568" w:rsidP="00704CC0">
      <w:pPr>
        <w:pStyle w:val="Heading2-Para"/>
        <w:spacing w:before="720"/>
        <w:rPr>
          <w:sz w:val="24"/>
          <w:szCs w:val="24"/>
        </w:rPr>
      </w:pPr>
      <w:r w:rsidRPr="00704CC0">
        <w:rPr>
          <w:sz w:val="24"/>
          <w:szCs w:val="24"/>
        </w:rPr>
        <w:t>Directors’ Report</w:t>
      </w:r>
      <w:bookmarkEnd w:id="0"/>
    </w:p>
    <w:p w:rsidR="00140568" w:rsidRPr="00A76890" w:rsidRDefault="00140568" w:rsidP="00704CC0">
      <w:pPr>
        <w:pStyle w:val="Normal2-Para"/>
        <w:tabs>
          <w:tab w:val="left" w:pos="567"/>
          <w:tab w:val="left" w:pos="1134"/>
          <w:tab w:val="left" w:pos="1701"/>
          <w:tab w:val="left" w:pos="2268"/>
        </w:tabs>
        <w:spacing w:line="240" w:lineRule="auto"/>
        <w:rPr>
          <w:color w:val="231F20"/>
        </w:rPr>
      </w:pPr>
      <w:r w:rsidRPr="00A76890">
        <w:rPr>
          <w:color w:val="231F20"/>
        </w:rPr>
        <w:t>The Directors present their report and audited accounts for the year to 31 August 2013.</w:t>
      </w:r>
    </w:p>
    <w:p w:rsidR="00140568" w:rsidRPr="00A76890" w:rsidRDefault="00140568" w:rsidP="00704CC0">
      <w:pPr>
        <w:pStyle w:val="Heading2-Para"/>
      </w:pPr>
      <w:r w:rsidRPr="00A76890">
        <w:t>Principal activities, trading review and future developments</w:t>
      </w:r>
    </w:p>
    <w:p w:rsidR="00140568" w:rsidRPr="00A76890" w:rsidRDefault="00140568" w:rsidP="00704CC0">
      <w:pPr>
        <w:pStyle w:val="Normal2-Para"/>
        <w:tabs>
          <w:tab w:val="left" w:pos="567"/>
          <w:tab w:val="left" w:pos="1134"/>
          <w:tab w:val="left" w:pos="1701"/>
          <w:tab w:val="left" w:pos="2268"/>
        </w:tabs>
        <w:spacing w:line="240" w:lineRule="auto"/>
      </w:pPr>
      <w:r w:rsidRPr="00A76890">
        <w:t xml:space="preserve">Elephant Capital plc (the “Company") is an investment </w:t>
      </w:r>
      <w:r w:rsidR="00E14BEF" w:rsidRPr="00A76890">
        <w:t>c</w:t>
      </w:r>
      <w:r w:rsidRPr="00A76890">
        <w:t xml:space="preserve">ompany established to build a concentrated portfolio of investments primarily in India that is actively managed by Elephant Capital LLP (the “Manager") to realise long-term capital gains. Details of the Company’s subsidiaries at the reporting date and at the date of this report are disclosed in note </w:t>
      </w:r>
      <w:r w:rsidR="00C7595C" w:rsidRPr="00A76890">
        <w:t>12.</w:t>
      </w:r>
    </w:p>
    <w:p w:rsidR="00140568" w:rsidRPr="00A76890" w:rsidRDefault="00140568" w:rsidP="00704CC0">
      <w:pPr>
        <w:pStyle w:val="Heading2-Para"/>
      </w:pPr>
      <w:r w:rsidRPr="00A76890">
        <w:t>Results and dividends</w:t>
      </w:r>
    </w:p>
    <w:p w:rsidR="00140568" w:rsidRPr="00A76890" w:rsidRDefault="00140568" w:rsidP="00704CC0">
      <w:pPr>
        <w:pStyle w:val="Normal2-Para"/>
        <w:tabs>
          <w:tab w:val="left" w:pos="567"/>
          <w:tab w:val="left" w:pos="1134"/>
          <w:tab w:val="left" w:pos="1701"/>
          <w:tab w:val="left" w:pos="2268"/>
        </w:tabs>
        <w:spacing w:line="240" w:lineRule="auto"/>
      </w:pPr>
      <w:r w:rsidRPr="00A76890">
        <w:t xml:space="preserve">The Group’s consolidated financial statements are set out on pages </w:t>
      </w:r>
      <w:r w:rsidR="002A6DFC" w:rsidRPr="00A76890">
        <w:t>1</w:t>
      </w:r>
      <w:r w:rsidR="00D6021B" w:rsidRPr="00A76890">
        <w:t>4</w:t>
      </w:r>
      <w:r w:rsidRPr="00A76890">
        <w:t xml:space="preserve"> to </w:t>
      </w:r>
      <w:r w:rsidR="002A6DFC" w:rsidRPr="00A76890">
        <w:t>4</w:t>
      </w:r>
      <w:r w:rsidR="00C1027A" w:rsidRPr="00A76890">
        <w:t>3</w:t>
      </w:r>
      <w:r w:rsidR="00607878" w:rsidRPr="00A76890">
        <w:t xml:space="preserve">. </w:t>
      </w:r>
      <w:r w:rsidRPr="00A76890">
        <w:t xml:space="preserve">The Group reported net assets at the reporting date of GBP </w:t>
      </w:r>
      <w:r w:rsidR="00C7595C" w:rsidRPr="00A76890">
        <w:t>8</w:t>
      </w:r>
      <w:r w:rsidR="002A6DFC" w:rsidRPr="00A76890">
        <w:t>.1</w:t>
      </w:r>
      <w:r w:rsidRPr="00A76890">
        <w:t xml:space="preserve"> million and </w:t>
      </w:r>
      <w:r w:rsidR="00E14BEF" w:rsidRPr="00A76890">
        <w:t>for</w:t>
      </w:r>
      <w:r w:rsidRPr="00A76890">
        <w:t xml:space="preserve"> the year to 31 August 2013 the loss attributable to the shareholders of GBP </w:t>
      </w:r>
      <w:r w:rsidR="00C7595C" w:rsidRPr="00A76890">
        <w:t>3.86</w:t>
      </w:r>
      <w:r w:rsidRPr="00A76890">
        <w:t xml:space="preserve"> million. The Board does not propose the payment of a dividend.</w:t>
      </w:r>
    </w:p>
    <w:p w:rsidR="00140568" w:rsidRPr="00A76890" w:rsidRDefault="00140568" w:rsidP="00704CC0">
      <w:pPr>
        <w:pStyle w:val="Heading2-Para"/>
      </w:pPr>
      <w:r w:rsidRPr="00A76890">
        <w:t>Directors</w:t>
      </w:r>
    </w:p>
    <w:p w:rsidR="00140568" w:rsidRPr="00A76890" w:rsidRDefault="00140568" w:rsidP="00704CC0">
      <w:pPr>
        <w:pStyle w:val="Normal2-Para"/>
        <w:tabs>
          <w:tab w:val="left" w:pos="567"/>
          <w:tab w:val="left" w:pos="1134"/>
          <w:tab w:val="left" w:pos="1701"/>
          <w:tab w:val="left" w:pos="2268"/>
        </w:tabs>
        <w:spacing w:line="240" w:lineRule="auto"/>
      </w:pPr>
      <w:r w:rsidRPr="00A76890">
        <w:t>The Directors of the Company during the year and to date were as follows:</w:t>
      </w:r>
    </w:p>
    <w:p w:rsidR="00BB008A" w:rsidRDefault="00BB008A" w:rsidP="00704CC0">
      <w:pPr>
        <w:pStyle w:val="Normal3-Sub-para"/>
        <w:tabs>
          <w:tab w:val="left" w:pos="567"/>
          <w:tab w:val="left" w:pos="1134"/>
          <w:tab w:val="left" w:pos="1701"/>
          <w:tab w:val="left" w:pos="2268"/>
        </w:tabs>
        <w:spacing w:line="240" w:lineRule="auto"/>
      </w:pPr>
      <w:r w:rsidRPr="00A76890">
        <w:t>Gaurav Burman (resigned 26 February 2014)</w:t>
      </w:r>
    </w:p>
    <w:p w:rsidR="00BB008A" w:rsidRDefault="00BB008A" w:rsidP="00704CC0">
      <w:pPr>
        <w:pStyle w:val="Normal3-Sub-para"/>
        <w:tabs>
          <w:tab w:val="left" w:pos="567"/>
          <w:tab w:val="left" w:pos="1134"/>
          <w:tab w:val="left" w:pos="1701"/>
          <w:tab w:val="left" w:pos="2268"/>
        </w:tabs>
        <w:spacing w:line="240" w:lineRule="auto"/>
      </w:pPr>
      <w:r w:rsidRPr="00A76890">
        <w:lastRenderedPageBreak/>
        <w:t>Francis Anthony Hancock (appointed 6 July 2006)</w:t>
      </w:r>
    </w:p>
    <w:p w:rsidR="00BB008A" w:rsidRPr="00A76890" w:rsidRDefault="00BB008A" w:rsidP="00704CC0">
      <w:pPr>
        <w:pStyle w:val="Normal3-Sub-para"/>
        <w:tabs>
          <w:tab w:val="left" w:pos="567"/>
          <w:tab w:val="left" w:pos="1134"/>
          <w:tab w:val="left" w:pos="1701"/>
          <w:tab w:val="left" w:pos="2268"/>
        </w:tabs>
        <w:spacing w:line="240" w:lineRule="auto"/>
      </w:pPr>
      <w:r w:rsidRPr="00A76890">
        <w:t>James Norman Hauslein (resigned 22 March 2013)</w:t>
      </w:r>
    </w:p>
    <w:p w:rsidR="00BB008A" w:rsidRPr="00A76890" w:rsidRDefault="00BB008A" w:rsidP="00704CC0">
      <w:pPr>
        <w:pStyle w:val="Normal3-Sub-para"/>
        <w:tabs>
          <w:tab w:val="left" w:pos="567"/>
          <w:tab w:val="left" w:pos="1134"/>
          <w:tab w:val="left" w:pos="1701"/>
          <w:tab w:val="left" w:pos="2268"/>
        </w:tabs>
        <w:spacing w:line="240" w:lineRule="auto"/>
        <w:rPr>
          <w:b/>
          <w:highlight w:val="yellow"/>
        </w:rPr>
      </w:pPr>
      <w:r w:rsidRPr="00A76890">
        <w:t>Vikram Lall (appointed 11 October 2010)</w:t>
      </w:r>
    </w:p>
    <w:p w:rsidR="00BB008A" w:rsidRPr="00A76890" w:rsidRDefault="00BB008A" w:rsidP="00704CC0">
      <w:pPr>
        <w:pStyle w:val="Normal3-Sub-para"/>
        <w:tabs>
          <w:tab w:val="left" w:pos="567"/>
          <w:tab w:val="left" w:pos="1134"/>
          <w:tab w:val="left" w:pos="1701"/>
          <w:tab w:val="left" w:pos="2268"/>
        </w:tabs>
        <w:spacing w:line="240" w:lineRule="auto"/>
        <w:rPr>
          <w:b/>
        </w:rPr>
      </w:pPr>
      <w:r w:rsidRPr="00A76890">
        <w:t>Elizabeth Tansell (appointed 6 July 2006)</w:t>
      </w:r>
    </w:p>
    <w:p w:rsidR="00140568" w:rsidRPr="00A76890" w:rsidRDefault="00140568" w:rsidP="00704CC0">
      <w:pPr>
        <w:pStyle w:val="Normal2-Para"/>
        <w:tabs>
          <w:tab w:val="left" w:pos="567"/>
          <w:tab w:val="left" w:pos="1134"/>
          <w:tab w:val="left" w:pos="1701"/>
          <w:tab w:val="left" w:pos="2268"/>
        </w:tabs>
        <w:spacing w:line="240" w:lineRule="auto"/>
      </w:pPr>
      <w:r w:rsidRPr="00A76890">
        <w:t xml:space="preserve">None of the Directors own any beneficial interest in the ordinary share capital of the Company. </w:t>
      </w:r>
    </w:p>
    <w:p w:rsidR="00140568" w:rsidRPr="00A76890" w:rsidRDefault="00140568" w:rsidP="00704CC0">
      <w:pPr>
        <w:pStyle w:val="Heading2-Para"/>
      </w:pPr>
      <w:r w:rsidRPr="00A76890">
        <w:t>Creditors’ payment policy and practice</w:t>
      </w:r>
    </w:p>
    <w:p w:rsidR="00140568" w:rsidRPr="00A76890" w:rsidRDefault="00140568" w:rsidP="00704CC0">
      <w:pPr>
        <w:pStyle w:val="Normal2-Para"/>
        <w:tabs>
          <w:tab w:val="left" w:pos="567"/>
          <w:tab w:val="left" w:pos="1134"/>
          <w:tab w:val="left" w:pos="1701"/>
          <w:tab w:val="left" w:pos="2268"/>
        </w:tabs>
        <w:spacing w:line="240" w:lineRule="auto"/>
      </w:pPr>
      <w:r w:rsidRPr="00A76890">
        <w:t>It is the Group's policy to agree terms of business with suppliers prior to the supply of goods and services. In the absence of any dispute, the Group pays, wherever possible, in accordance with these agreed terms.</w:t>
      </w:r>
    </w:p>
    <w:p w:rsidR="00140568" w:rsidRPr="00A76890" w:rsidRDefault="00140568" w:rsidP="00704CC0">
      <w:pPr>
        <w:pStyle w:val="Heading2-Para"/>
      </w:pPr>
      <w:r w:rsidRPr="00A76890">
        <w:t>Key performance indicators</w:t>
      </w:r>
    </w:p>
    <w:p w:rsidR="00140568" w:rsidRPr="00A76890" w:rsidRDefault="00140568" w:rsidP="00704CC0">
      <w:pPr>
        <w:pStyle w:val="Normal2-Para"/>
        <w:tabs>
          <w:tab w:val="left" w:pos="567"/>
          <w:tab w:val="left" w:pos="1134"/>
          <w:tab w:val="left" w:pos="1701"/>
          <w:tab w:val="left" w:pos="2268"/>
        </w:tabs>
        <w:spacing w:line="240" w:lineRule="auto"/>
      </w:pPr>
      <w:r w:rsidRPr="00A76890">
        <w:t xml:space="preserve">The Directors monitor the business through the movement in the Group’s net asset value (total assets less total liabilities) as disclosed in note </w:t>
      </w:r>
      <w:r w:rsidR="00C7595C" w:rsidRPr="00A76890">
        <w:t>19</w:t>
      </w:r>
      <w:r w:rsidRPr="00A76890">
        <w:t>.</w:t>
      </w:r>
    </w:p>
    <w:p w:rsidR="00140568" w:rsidRPr="00A76890" w:rsidRDefault="00140568" w:rsidP="00704CC0">
      <w:pPr>
        <w:pStyle w:val="Heading2-Para"/>
      </w:pPr>
      <w:r w:rsidRPr="00A76890">
        <w:t>Financial risk management</w:t>
      </w:r>
    </w:p>
    <w:p w:rsidR="00140568" w:rsidRPr="00A76890" w:rsidRDefault="00140568" w:rsidP="00704CC0">
      <w:pPr>
        <w:pStyle w:val="Normal2-Para"/>
        <w:tabs>
          <w:tab w:val="left" w:pos="567"/>
          <w:tab w:val="left" w:pos="1134"/>
          <w:tab w:val="left" w:pos="1701"/>
          <w:tab w:val="left" w:pos="2268"/>
        </w:tabs>
        <w:spacing w:line="240" w:lineRule="auto"/>
      </w:pPr>
      <w:r w:rsidRPr="00A76890">
        <w:t xml:space="preserve">It is the responsibility of management to ensure that proper controls are in place to maintain effective risk management in every aspect of the Company's business. The main risks comprise market risk, currency risk, interest rate risk, price risk, credit risk and liquidity risk. Details of how the management manages the risks are set out in note </w:t>
      </w:r>
      <w:r w:rsidR="00C7595C" w:rsidRPr="00A76890">
        <w:t>22</w:t>
      </w:r>
      <w:r w:rsidRPr="00A76890">
        <w:t xml:space="preserve"> to the financial statements.</w:t>
      </w:r>
    </w:p>
    <w:p w:rsidR="00140568" w:rsidRPr="00A76890" w:rsidRDefault="00140568" w:rsidP="00704CC0">
      <w:pPr>
        <w:pStyle w:val="Heading2-Para"/>
      </w:pPr>
      <w:r w:rsidRPr="00A76890">
        <w:t>Auditors</w:t>
      </w:r>
    </w:p>
    <w:p w:rsidR="00140568" w:rsidRPr="00A76890" w:rsidRDefault="00140568" w:rsidP="00704CC0">
      <w:pPr>
        <w:pStyle w:val="Normal2-Para"/>
        <w:tabs>
          <w:tab w:val="left" w:pos="567"/>
          <w:tab w:val="left" w:pos="1134"/>
          <w:tab w:val="left" w:pos="1701"/>
          <w:tab w:val="left" w:pos="2268"/>
        </w:tabs>
        <w:spacing w:line="240" w:lineRule="auto"/>
      </w:pPr>
      <w:r w:rsidRPr="00A76890">
        <w:t>Grant Thornton (Isle of Man), Chartered Accountants, retire under the provisions of section 12(2) of the Isle of Man Companies Act 1982 and being eligible they offer themselves for re-election at the forthcoming AGM.</w:t>
      </w:r>
    </w:p>
    <w:p w:rsidR="00140568" w:rsidRPr="00A76890" w:rsidRDefault="00140568" w:rsidP="00704CC0">
      <w:pPr>
        <w:pStyle w:val="Heading2-Para"/>
      </w:pPr>
      <w:r w:rsidRPr="00A76890">
        <w:t>Directors' responsibilities</w:t>
      </w:r>
    </w:p>
    <w:p w:rsidR="00140568" w:rsidRPr="00A76890" w:rsidRDefault="00140568" w:rsidP="00704CC0">
      <w:pPr>
        <w:pStyle w:val="Normal2-Para"/>
        <w:tabs>
          <w:tab w:val="left" w:pos="567"/>
          <w:tab w:val="left" w:pos="1134"/>
          <w:tab w:val="left" w:pos="1701"/>
          <w:tab w:val="left" w:pos="2268"/>
        </w:tabs>
        <w:spacing w:line="240" w:lineRule="auto"/>
      </w:pPr>
      <w:r w:rsidRPr="00A76890">
        <w:t>The Directors are responsible for preparing the annual report and financial statements in accordance with Isle of Man Law and International Financial Reporting Standards (</w:t>
      </w:r>
      <w:r w:rsidR="00BC7C41" w:rsidRPr="00A76890">
        <w:t>“</w:t>
      </w:r>
      <w:r w:rsidRPr="00A76890">
        <w:t>IFRSs</w:t>
      </w:r>
      <w:r w:rsidR="00BC7C41" w:rsidRPr="00A76890">
        <w:t>”</w:t>
      </w:r>
      <w:r w:rsidRPr="00A76890">
        <w:t xml:space="preserve">) as adopted by the European Union. </w:t>
      </w:r>
    </w:p>
    <w:p w:rsidR="00140568" w:rsidRPr="00A76890" w:rsidRDefault="00140568" w:rsidP="00704CC0">
      <w:pPr>
        <w:pStyle w:val="Normal2-Para"/>
        <w:tabs>
          <w:tab w:val="left" w:pos="567"/>
          <w:tab w:val="left" w:pos="1134"/>
          <w:tab w:val="left" w:pos="1701"/>
          <w:tab w:val="left" w:pos="2268"/>
        </w:tabs>
        <w:spacing w:line="240" w:lineRule="auto"/>
      </w:pPr>
      <w:r w:rsidRPr="00A76890">
        <w:t xml:space="preserve">Company law requires the Directors to prepare financial statements for each financial period which give a true and fair view of the state of affairs of the Company and the Group and of the profit or loss of the Group </w:t>
      </w:r>
      <w:r w:rsidR="005A6081" w:rsidRPr="00A76890">
        <w:t xml:space="preserve">and the Company </w:t>
      </w:r>
      <w:r w:rsidRPr="00A76890">
        <w:t>for that period. In preparing those financial statements, the Directors are required to:</w:t>
      </w:r>
    </w:p>
    <w:p w:rsidR="00140568" w:rsidRPr="00A76890" w:rsidRDefault="00140568" w:rsidP="00704CC0">
      <w:pPr>
        <w:pStyle w:val="Bullet1"/>
        <w:numPr>
          <w:ilvl w:val="0"/>
          <w:numId w:val="10"/>
        </w:numPr>
        <w:tabs>
          <w:tab w:val="left" w:pos="567"/>
          <w:tab w:val="left" w:pos="1134"/>
          <w:tab w:val="left" w:pos="1701"/>
          <w:tab w:val="left" w:pos="2268"/>
        </w:tabs>
        <w:spacing w:line="240" w:lineRule="auto"/>
        <w:ind w:left="567" w:hanging="567"/>
      </w:pPr>
      <w:r w:rsidRPr="00A76890">
        <w:t>select suitable accounting policies and then apply them consistently;</w:t>
      </w:r>
    </w:p>
    <w:p w:rsidR="00140568" w:rsidRPr="00A76890" w:rsidRDefault="00140568" w:rsidP="00704CC0">
      <w:pPr>
        <w:pStyle w:val="Bullet1"/>
        <w:numPr>
          <w:ilvl w:val="0"/>
          <w:numId w:val="10"/>
        </w:numPr>
        <w:tabs>
          <w:tab w:val="left" w:pos="567"/>
          <w:tab w:val="left" w:pos="1134"/>
          <w:tab w:val="left" w:pos="1701"/>
          <w:tab w:val="left" w:pos="2268"/>
        </w:tabs>
        <w:spacing w:line="240" w:lineRule="auto"/>
        <w:ind w:left="567" w:hanging="567"/>
      </w:pPr>
      <w:r w:rsidRPr="00A76890">
        <w:t>make judg</w:t>
      </w:r>
      <w:r w:rsidR="00BC7C41" w:rsidRPr="00A76890">
        <w:t>e</w:t>
      </w:r>
      <w:r w:rsidRPr="00A76890">
        <w:t>ments and estimates that are reasonable and prudent;</w:t>
      </w:r>
    </w:p>
    <w:p w:rsidR="00140568" w:rsidRPr="00A76890" w:rsidRDefault="00140568" w:rsidP="00704CC0">
      <w:pPr>
        <w:pStyle w:val="Bullet1"/>
        <w:numPr>
          <w:ilvl w:val="0"/>
          <w:numId w:val="10"/>
        </w:numPr>
        <w:tabs>
          <w:tab w:val="left" w:pos="567"/>
          <w:tab w:val="left" w:pos="1134"/>
          <w:tab w:val="left" w:pos="1701"/>
          <w:tab w:val="left" w:pos="2268"/>
        </w:tabs>
        <w:spacing w:line="240" w:lineRule="auto"/>
        <w:ind w:left="567" w:hanging="567"/>
      </w:pPr>
      <w:r w:rsidRPr="00A76890">
        <w:t>state whether applicable accounting standards have been followed, subject to any material departures disclosed and explained in the financial statements; and</w:t>
      </w:r>
    </w:p>
    <w:p w:rsidR="00140568" w:rsidRPr="00A76890" w:rsidRDefault="00140568" w:rsidP="00704CC0">
      <w:pPr>
        <w:pStyle w:val="Bullet1"/>
        <w:numPr>
          <w:ilvl w:val="0"/>
          <w:numId w:val="10"/>
        </w:numPr>
        <w:tabs>
          <w:tab w:val="left" w:pos="567"/>
          <w:tab w:val="left" w:pos="1134"/>
          <w:tab w:val="left" w:pos="1701"/>
          <w:tab w:val="left" w:pos="2268"/>
        </w:tabs>
        <w:spacing w:line="240" w:lineRule="auto"/>
        <w:ind w:left="567" w:hanging="567"/>
      </w:pPr>
      <w:proofErr w:type="gramStart"/>
      <w:r w:rsidRPr="00A76890">
        <w:t>prepare</w:t>
      </w:r>
      <w:proofErr w:type="gramEnd"/>
      <w:r w:rsidRPr="00A76890">
        <w:t xml:space="preserve"> the financial statements on the going concern basis unless it is inappropriate to presume that the Company will continue in business. </w:t>
      </w:r>
    </w:p>
    <w:p w:rsidR="00140568" w:rsidRPr="00A76890" w:rsidRDefault="00140568" w:rsidP="00704CC0">
      <w:pPr>
        <w:pStyle w:val="Normal2-Para"/>
        <w:tabs>
          <w:tab w:val="left" w:pos="567"/>
          <w:tab w:val="left" w:pos="1134"/>
          <w:tab w:val="left" w:pos="1701"/>
          <w:tab w:val="left" w:pos="2268"/>
        </w:tabs>
        <w:spacing w:line="240" w:lineRule="auto"/>
      </w:pPr>
      <w:r w:rsidRPr="00A76890">
        <w:t>In so far as the Directors are aware:</w:t>
      </w:r>
    </w:p>
    <w:p w:rsidR="00140568" w:rsidRPr="00BB008A" w:rsidRDefault="00140568" w:rsidP="00704CC0">
      <w:pPr>
        <w:pStyle w:val="Bullet1"/>
        <w:numPr>
          <w:ilvl w:val="0"/>
          <w:numId w:val="11"/>
        </w:numPr>
        <w:tabs>
          <w:tab w:val="left" w:pos="567"/>
          <w:tab w:val="left" w:pos="1134"/>
          <w:tab w:val="left" w:pos="1701"/>
          <w:tab w:val="left" w:pos="2268"/>
        </w:tabs>
        <w:spacing w:line="240" w:lineRule="auto"/>
        <w:ind w:left="567" w:hanging="567"/>
      </w:pPr>
      <w:r w:rsidRPr="00BB008A">
        <w:t>there is no relevant audit information of which the Group’s auditors are unaware; and</w:t>
      </w:r>
    </w:p>
    <w:p w:rsidR="00140568" w:rsidRPr="00BB008A" w:rsidRDefault="00140568" w:rsidP="00704CC0">
      <w:pPr>
        <w:pStyle w:val="Bullet1"/>
        <w:numPr>
          <w:ilvl w:val="0"/>
          <w:numId w:val="11"/>
        </w:numPr>
        <w:tabs>
          <w:tab w:val="left" w:pos="567"/>
          <w:tab w:val="left" w:pos="1134"/>
          <w:tab w:val="left" w:pos="1701"/>
          <w:tab w:val="left" w:pos="2268"/>
        </w:tabs>
        <w:spacing w:line="240" w:lineRule="auto"/>
        <w:ind w:left="567" w:hanging="567"/>
      </w:pPr>
      <w:proofErr w:type="gramStart"/>
      <w:r w:rsidRPr="00BB008A">
        <w:t>the</w:t>
      </w:r>
      <w:proofErr w:type="gramEnd"/>
      <w:r w:rsidRPr="00BB008A">
        <w:t xml:space="preserve"> Directors have taken all the steps that they ought to have taken as Directors in order to make themselves aware of any relevant audit information and to establish that the Group’s auditors are aware of that information.</w:t>
      </w:r>
    </w:p>
    <w:p w:rsidR="00140568" w:rsidRPr="00A76890" w:rsidRDefault="00140568" w:rsidP="00704CC0">
      <w:pPr>
        <w:pStyle w:val="Normal2-Para"/>
        <w:tabs>
          <w:tab w:val="left" w:pos="567"/>
          <w:tab w:val="left" w:pos="1134"/>
          <w:tab w:val="left" w:pos="1701"/>
          <w:tab w:val="left" w:pos="2268"/>
        </w:tabs>
        <w:spacing w:line="240" w:lineRule="auto"/>
      </w:pPr>
      <w:r w:rsidRPr="00A76890">
        <w:t>The Directors are responsible for keeping proper accounting records which disclose with reasonable accuracy at any time the financial position of the Company and to enable them to ensure that the financial statements comply with the Companies Acts 1931 to 2004. They are also responsible for safeguarding the assets of the Company and the Group and hence for taking reasonable steps for the prevention and detection of fraud and other irregularities.</w:t>
      </w:r>
    </w:p>
    <w:p w:rsidR="00140568" w:rsidRPr="00A76890" w:rsidRDefault="00140568" w:rsidP="00704CC0">
      <w:pPr>
        <w:pStyle w:val="Normal2-Para"/>
        <w:tabs>
          <w:tab w:val="left" w:pos="567"/>
          <w:tab w:val="left" w:pos="1134"/>
          <w:tab w:val="left" w:pos="1701"/>
          <w:tab w:val="left" w:pos="2268"/>
        </w:tabs>
        <w:spacing w:line="240" w:lineRule="auto"/>
      </w:pPr>
      <w:r w:rsidRPr="00A76890">
        <w:lastRenderedPageBreak/>
        <w:t>The Directors are also responsible for the maintenance and integrity of the corporate and financial information included on the Company's website. Legislation in the Isle of Man governing the preparation and dissemination of financial statements may differ from the legislation in other jurisdictions.</w:t>
      </w:r>
    </w:p>
    <w:p w:rsidR="00140568" w:rsidRPr="00BB008A" w:rsidRDefault="00140568" w:rsidP="00704CC0">
      <w:pPr>
        <w:pStyle w:val="Normal2-Para"/>
        <w:tabs>
          <w:tab w:val="left" w:pos="567"/>
          <w:tab w:val="left" w:pos="1134"/>
          <w:tab w:val="left" w:pos="1701"/>
          <w:tab w:val="left" w:pos="2268"/>
        </w:tabs>
        <w:spacing w:before="240" w:line="240" w:lineRule="auto"/>
        <w:jc w:val="left"/>
        <w:rPr>
          <w:b/>
        </w:rPr>
      </w:pPr>
      <w:r w:rsidRPr="00BB008A">
        <w:rPr>
          <w:b/>
        </w:rPr>
        <w:t>On behalf of the Board</w:t>
      </w:r>
      <w:r w:rsidR="00BB008A">
        <w:rPr>
          <w:b/>
        </w:rPr>
        <w:br/>
      </w:r>
      <w:r w:rsidR="00F15C89" w:rsidRPr="00BB008A">
        <w:rPr>
          <w:b/>
        </w:rPr>
        <w:t>Elizabeth Tansell</w:t>
      </w:r>
      <w:r w:rsidR="00BB008A">
        <w:rPr>
          <w:b/>
        </w:rPr>
        <w:br/>
      </w:r>
      <w:r w:rsidR="004C63C9" w:rsidRPr="00BB008A">
        <w:rPr>
          <w:b/>
        </w:rPr>
        <w:t>Director</w:t>
      </w:r>
      <w:r w:rsidR="00BB008A">
        <w:rPr>
          <w:b/>
        </w:rPr>
        <w:br/>
      </w:r>
      <w:r w:rsidR="00EF5A34" w:rsidRPr="00BB008A">
        <w:rPr>
          <w:b/>
        </w:rPr>
        <w:t>26</w:t>
      </w:r>
      <w:r w:rsidRPr="00BB008A">
        <w:rPr>
          <w:b/>
        </w:rPr>
        <w:t xml:space="preserve"> </w:t>
      </w:r>
      <w:r w:rsidR="007E021E" w:rsidRPr="00BB008A">
        <w:rPr>
          <w:b/>
        </w:rPr>
        <w:t xml:space="preserve">February </w:t>
      </w:r>
      <w:r w:rsidR="00662183" w:rsidRPr="00BB008A">
        <w:rPr>
          <w:b/>
        </w:rPr>
        <w:t>2014</w:t>
      </w:r>
    </w:p>
    <w:p w:rsidR="009E045D" w:rsidRPr="00704CC0" w:rsidRDefault="009E045D" w:rsidP="00704CC0">
      <w:pPr>
        <w:pStyle w:val="Heading2-Para"/>
        <w:spacing w:before="720"/>
        <w:rPr>
          <w:sz w:val="24"/>
          <w:szCs w:val="24"/>
        </w:rPr>
      </w:pPr>
      <w:bookmarkStart w:id="4" w:name="_Toc285208355"/>
      <w:bookmarkStart w:id="5" w:name="_Toc286417100"/>
      <w:bookmarkStart w:id="6" w:name="_Toc317955096"/>
      <w:bookmarkEnd w:id="1"/>
      <w:r w:rsidRPr="00704CC0">
        <w:rPr>
          <w:sz w:val="24"/>
          <w:szCs w:val="24"/>
        </w:rPr>
        <w:t>Report of the Independent Auditor to the Members of Elephant Capital plc</w:t>
      </w:r>
    </w:p>
    <w:p w:rsidR="009E045D" w:rsidRPr="00A76890" w:rsidRDefault="009E045D" w:rsidP="00704CC0">
      <w:pPr>
        <w:pStyle w:val="Normal2-Para"/>
        <w:tabs>
          <w:tab w:val="left" w:pos="567"/>
          <w:tab w:val="left" w:pos="1134"/>
          <w:tab w:val="left" w:pos="1701"/>
          <w:tab w:val="left" w:pos="2268"/>
        </w:tabs>
        <w:spacing w:line="240" w:lineRule="auto"/>
      </w:pPr>
      <w:r w:rsidRPr="00A76890">
        <w:t>We have audited the Consolidated and Parent Company financial statements (the “financial statements’’) of Elephant Capital plc for the year ended 31 August 201</w:t>
      </w:r>
      <w:r w:rsidR="004A6792" w:rsidRPr="00A76890">
        <w:t>3</w:t>
      </w:r>
      <w:r w:rsidRPr="00A76890">
        <w:t>, which comprise the Consolidated Statement of Comprehensive Income, the Consolidated and Parent Company Statements of Financial Position, the Consolidated and Parent Company Statements of Cash Flows, the Consolidated and Parent Company Statements of Changes in Equity and notes 1 to 2</w:t>
      </w:r>
      <w:r w:rsidR="00D66D65" w:rsidRPr="00A76890">
        <w:t>7</w:t>
      </w:r>
      <w:r w:rsidRPr="00A76890">
        <w:t xml:space="preserve">.  </w:t>
      </w:r>
      <w:r w:rsidRPr="00A76890">
        <w:rPr>
          <w:rFonts w:eastAsiaTheme="minorHAnsi"/>
        </w:rPr>
        <w:t>The financial reporting framework that has been applied in their preparation is applicable law and International Financial Reporting Standards (</w:t>
      </w:r>
      <w:r w:rsidR="00BC7C41" w:rsidRPr="00A76890">
        <w:rPr>
          <w:rFonts w:eastAsiaTheme="minorHAnsi"/>
        </w:rPr>
        <w:t>“</w:t>
      </w:r>
      <w:r w:rsidRPr="00A76890">
        <w:rPr>
          <w:rFonts w:eastAsiaTheme="minorHAnsi"/>
        </w:rPr>
        <w:t>IFRSs</w:t>
      </w:r>
      <w:r w:rsidR="00BC7C41" w:rsidRPr="00A76890">
        <w:rPr>
          <w:rFonts w:eastAsiaTheme="minorHAnsi"/>
        </w:rPr>
        <w:t>”</w:t>
      </w:r>
      <w:r w:rsidRPr="00A76890">
        <w:rPr>
          <w:rFonts w:eastAsiaTheme="minorHAnsi"/>
        </w:rPr>
        <w:t>) as adopted by the European Union.</w:t>
      </w:r>
    </w:p>
    <w:p w:rsidR="009E045D" w:rsidRPr="00A76890" w:rsidRDefault="009E045D" w:rsidP="00704CC0">
      <w:pPr>
        <w:pStyle w:val="Normal2-Para"/>
        <w:tabs>
          <w:tab w:val="left" w:pos="567"/>
          <w:tab w:val="left" w:pos="1134"/>
          <w:tab w:val="left" w:pos="1701"/>
          <w:tab w:val="left" w:pos="2268"/>
        </w:tabs>
        <w:spacing w:line="240" w:lineRule="auto"/>
      </w:pPr>
      <w:r w:rsidRPr="00A76890">
        <w:t>This report is made solely to the Company’s members, as a body, in accordance with Section 15 of the</w:t>
      </w:r>
      <w:r w:rsidR="00A0219B" w:rsidRPr="00A76890">
        <w:t xml:space="preserve"> </w:t>
      </w:r>
      <w:r w:rsidRPr="00A76890">
        <w:t xml:space="preserve">Companies Act 1982. Our audit work has been undertaken so that we might state to the Company’s members those matters we are required to state to them in an auditors’ report and for no other purpose. To the fullest extent permitted by law, we do not accept or assume responsibility to anyone other than the Company and the Company’s members as a body, for our audit work for this report, or for the opinions we have formed. </w:t>
      </w:r>
    </w:p>
    <w:p w:rsidR="009E045D" w:rsidRPr="00A76890" w:rsidRDefault="009E045D" w:rsidP="00704CC0">
      <w:pPr>
        <w:pStyle w:val="Heading2-Para"/>
      </w:pPr>
      <w:r w:rsidRPr="00A76890">
        <w:t xml:space="preserve">Respective responsibilities of </w:t>
      </w:r>
      <w:r w:rsidR="009A7BB7" w:rsidRPr="00A76890">
        <w:t>D</w:t>
      </w:r>
      <w:r w:rsidRPr="00A76890">
        <w:t xml:space="preserve">irectors and auditors </w:t>
      </w:r>
    </w:p>
    <w:p w:rsidR="009E045D" w:rsidRPr="00A76890" w:rsidRDefault="009E045D" w:rsidP="00704CC0">
      <w:pPr>
        <w:pStyle w:val="Normal2-Para"/>
        <w:tabs>
          <w:tab w:val="left" w:pos="567"/>
          <w:tab w:val="left" w:pos="1134"/>
          <w:tab w:val="left" w:pos="1701"/>
          <w:tab w:val="left" w:pos="2268"/>
        </w:tabs>
        <w:spacing w:line="240" w:lineRule="auto"/>
      </w:pPr>
      <w:r w:rsidRPr="00A76890">
        <w:rPr>
          <w:rFonts w:eastAsiaTheme="minorHAnsi"/>
        </w:rPr>
        <w:t>As explained more fully in the Directors’ Responsibilities Statement, the Directors are responsible for the preparation of the financial statements and for being satisfied that they give a true and fair view. Our responsibility is to audit and express an opinion on the financial statements in accordance with applicable law and International Standards on Auditing (UK and Ireland). Those standards require us to comply with the Auditing Practices Board’s Ethical Standards for Auditors.</w:t>
      </w:r>
    </w:p>
    <w:p w:rsidR="009E045D" w:rsidRPr="00A76890" w:rsidRDefault="009E045D" w:rsidP="00704CC0">
      <w:pPr>
        <w:pStyle w:val="Heading2-Para"/>
      </w:pPr>
      <w:r w:rsidRPr="00A76890">
        <w:t>Scope of the audit</w:t>
      </w:r>
    </w:p>
    <w:p w:rsidR="009E045D" w:rsidRPr="00A76890" w:rsidRDefault="009E045D" w:rsidP="00704CC0">
      <w:pPr>
        <w:pStyle w:val="Normal2-Para"/>
        <w:tabs>
          <w:tab w:val="left" w:pos="567"/>
          <w:tab w:val="left" w:pos="1134"/>
          <w:tab w:val="left" w:pos="1701"/>
          <w:tab w:val="left" w:pos="2268"/>
        </w:tabs>
        <w:spacing w:line="240" w:lineRule="auto"/>
      </w:pPr>
      <w:r w:rsidRPr="00A76890">
        <w:rPr>
          <w:rFonts w:eastAsiaTheme="minorHAnsi"/>
        </w:rPr>
        <w:t xml:space="preserve">An audit involves obtaining evidence about the amounts and disclosures in the financial statements sufficient to give reasonable assurance that the financial statements are free from material misstatement, whether caused by fraud or error. This includes an assessment of: whether the accounting policies are appropriate to the Company’s circumstances and have been consistently applied and adequately disclosed; the reasonableness of significant accounting estimates made by the Directors; and the overall presentation of the financial statements. In addition, we read all the financial and non-financial information in the Annual Report to identify material inconsistencies with the audited financial </w:t>
      </w:r>
      <w:proofErr w:type="spellStart"/>
      <w:r w:rsidRPr="00A76890">
        <w:rPr>
          <w:rFonts w:eastAsiaTheme="minorHAnsi"/>
        </w:rPr>
        <w:t>statements.</w:t>
      </w:r>
      <w:r w:rsidRPr="00A76890">
        <w:t>The</w:t>
      </w:r>
      <w:proofErr w:type="spellEnd"/>
      <w:r w:rsidRPr="00A76890">
        <w:t xml:space="preserve"> other information comprises only the Chairman’s Statement, Investment Manager’s Review and the Directors’ Report.</w:t>
      </w:r>
      <w:r w:rsidR="0015041C" w:rsidRPr="00A76890">
        <w:t xml:space="preserve"> </w:t>
      </w:r>
      <w:r w:rsidRPr="00A76890">
        <w:rPr>
          <w:rFonts w:eastAsiaTheme="minorHAnsi"/>
        </w:rPr>
        <w:t>If we become aware of any apparent material misstatements or inconsistencies we consider the implications for our report.</w:t>
      </w:r>
    </w:p>
    <w:p w:rsidR="009E045D" w:rsidRPr="00A76890" w:rsidRDefault="009E045D" w:rsidP="00704CC0">
      <w:pPr>
        <w:pStyle w:val="Heading2-Para"/>
      </w:pPr>
      <w:r w:rsidRPr="00A76890">
        <w:rPr>
          <w:rFonts w:eastAsiaTheme="minorHAnsi"/>
        </w:rPr>
        <w:t>O</w:t>
      </w:r>
      <w:r w:rsidRPr="00A76890">
        <w:t>pinion</w:t>
      </w:r>
      <w:r w:rsidR="00F8542B" w:rsidRPr="00A76890">
        <w:t xml:space="preserve"> on financial statement</w:t>
      </w:r>
      <w:r w:rsidR="00531E5E" w:rsidRPr="00A76890">
        <w:t>s</w:t>
      </w:r>
    </w:p>
    <w:p w:rsidR="009E045D" w:rsidRPr="00A76890" w:rsidRDefault="009E045D" w:rsidP="00704CC0">
      <w:pPr>
        <w:pStyle w:val="Normal2-Para"/>
        <w:tabs>
          <w:tab w:val="left" w:pos="567"/>
          <w:tab w:val="left" w:pos="1134"/>
          <w:tab w:val="left" w:pos="1701"/>
          <w:tab w:val="left" w:pos="2268"/>
        </w:tabs>
        <w:spacing w:line="240" w:lineRule="auto"/>
        <w:rPr>
          <w:rFonts w:eastAsiaTheme="minorHAnsi"/>
        </w:rPr>
      </w:pPr>
      <w:r w:rsidRPr="00A76890">
        <w:rPr>
          <w:rFonts w:eastAsiaTheme="minorHAnsi"/>
        </w:rPr>
        <w:t>In our opinion</w:t>
      </w:r>
      <w:r w:rsidR="00B3503C" w:rsidRPr="00A76890">
        <w:rPr>
          <w:rFonts w:eastAsiaTheme="minorHAnsi"/>
        </w:rPr>
        <w:t xml:space="preserve"> the financial statements</w:t>
      </w:r>
      <w:r w:rsidR="00F44263" w:rsidRPr="00A76890">
        <w:rPr>
          <w:rFonts w:eastAsiaTheme="minorHAnsi"/>
        </w:rPr>
        <w:t>:</w:t>
      </w:r>
    </w:p>
    <w:p w:rsidR="009E045D" w:rsidRPr="00A76890" w:rsidRDefault="009E045D" w:rsidP="00704CC0">
      <w:pPr>
        <w:pStyle w:val="Bullet1"/>
        <w:numPr>
          <w:ilvl w:val="0"/>
          <w:numId w:val="12"/>
        </w:numPr>
        <w:tabs>
          <w:tab w:val="left" w:pos="567"/>
          <w:tab w:val="left" w:pos="1134"/>
          <w:tab w:val="left" w:pos="1701"/>
          <w:tab w:val="left" w:pos="2268"/>
        </w:tabs>
        <w:spacing w:line="240" w:lineRule="auto"/>
        <w:ind w:left="567" w:hanging="567"/>
      </w:pPr>
      <w:r w:rsidRPr="00A76890">
        <w:t xml:space="preserve">give a true and fair view of the state of the Group’s and the </w:t>
      </w:r>
      <w:r w:rsidR="00F8542B" w:rsidRPr="00A76890">
        <w:t>P</w:t>
      </w:r>
      <w:r w:rsidRPr="00A76890">
        <w:t>arent Company’s affairs as at 31 August 201</w:t>
      </w:r>
      <w:r w:rsidR="00ED007D" w:rsidRPr="00A76890">
        <w:t>3</w:t>
      </w:r>
      <w:r w:rsidRPr="00A76890">
        <w:t xml:space="preserve"> and of the Group’s loss for the year ended 31 August 201</w:t>
      </w:r>
      <w:r w:rsidR="00ED007D" w:rsidRPr="00A76890">
        <w:t>3</w:t>
      </w:r>
      <w:r w:rsidRPr="00A76890">
        <w:t>;</w:t>
      </w:r>
    </w:p>
    <w:p w:rsidR="009E045D" w:rsidRPr="00A76890" w:rsidRDefault="009E045D" w:rsidP="00704CC0">
      <w:pPr>
        <w:pStyle w:val="Bullet1"/>
        <w:numPr>
          <w:ilvl w:val="0"/>
          <w:numId w:val="12"/>
        </w:numPr>
        <w:tabs>
          <w:tab w:val="left" w:pos="567"/>
          <w:tab w:val="left" w:pos="1134"/>
          <w:tab w:val="left" w:pos="1701"/>
          <w:tab w:val="left" w:pos="2268"/>
        </w:tabs>
        <w:spacing w:line="240" w:lineRule="auto"/>
        <w:ind w:left="567" w:hanging="567"/>
      </w:pPr>
      <w:r w:rsidRPr="00A76890">
        <w:t xml:space="preserve">have been properly prepared in accordance with </w:t>
      </w:r>
      <w:r w:rsidR="00B3503C" w:rsidRPr="00A76890">
        <w:t>IFRS</w:t>
      </w:r>
      <w:r w:rsidR="000A76A0" w:rsidRPr="00A76890">
        <w:t>s</w:t>
      </w:r>
      <w:r w:rsidR="00B3503C" w:rsidRPr="00A76890">
        <w:t xml:space="preserve"> as adopted by </w:t>
      </w:r>
      <w:r w:rsidR="00F8542B" w:rsidRPr="00A76890">
        <w:t xml:space="preserve">the </w:t>
      </w:r>
      <w:r w:rsidR="00B3503C" w:rsidRPr="00A76890">
        <w:t xml:space="preserve">European Union; and </w:t>
      </w:r>
    </w:p>
    <w:p w:rsidR="00B3503C" w:rsidRPr="00A76890" w:rsidRDefault="00B3503C" w:rsidP="00704CC0">
      <w:pPr>
        <w:pStyle w:val="Bullet1"/>
        <w:numPr>
          <w:ilvl w:val="0"/>
          <w:numId w:val="12"/>
        </w:numPr>
        <w:tabs>
          <w:tab w:val="left" w:pos="567"/>
          <w:tab w:val="left" w:pos="1134"/>
          <w:tab w:val="left" w:pos="1701"/>
          <w:tab w:val="left" w:pos="2268"/>
        </w:tabs>
        <w:spacing w:line="240" w:lineRule="auto"/>
        <w:ind w:left="567" w:hanging="567"/>
      </w:pPr>
      <w:proofErr w:type="gramStart"/>
      <w:r w:rsidRPr="00A76890">
        <w:t>have</w:t>
      </w:r>
      <w:proofErr w:type="gramEnd"/>
      <w:r w:rsidRPr="00A76890">
        <w:t xml:space="preserve"> been properly prepared in accordance with the requirements of the Isle of Man Companies Acts 1931 to 2004. </w:t>
      </w:r>
    </w:p>
    <w:p w:rsidR="009E045D" w:rsidRPr="00A76890" w:rsidRDefault="00847C3B" w:rsidP="00704CC0">
      <w:pPr>
        <w:pStyle w:val="Heading2-Para"/>
        <w:rPr>
          <w:rFonts w:eastAsiaTheme="minorHAnsi"/>
        </w:rPr>
      </w:pPr>
      <w:r w:rsidRPr="00A76890">
        <w:rPr>
          <w:rFonts w:eastAsiaTheme="minorHAnsi"/>
        </w:rPr>
        <w:lastRenderedPageBreak/>
        <w:t>Matters on which we are required to report by exception</w:t>
      </w:r>
    </w:p>
    <w:p w:rsidR="009E045D" w:rsidRPr="00A76890" w:rsidRDefault="00847C3B" w:rsidP="00704CC0">
      <w:pPr>
        <w:pStyle w:val="Normal2-Para"/>
        <w:tabs>
          <w:tab w:val="left" w:pos="567"/>
          <w:tab w:val="left" w:pos="1134"/>
          <w:tab w:val="left" w:pos="1701"/>
          <w:tab w:val="left" w:pos="2268"/>
        </w:tabs>
        <w:spacing w:line="240" w:lineRule="auto"/>
        <w:rPr>
          <w:rFonts w:eastAsiaTheme="minorHAnsi"/>
        </w:rPr>
      </w:pPr>
      <w:r w:rsidRPr="00A76890">
        <w:rPr>
          <w:rFonts w:eastAsiaTheme="minorHAnsi"/>
        </w:rPr>
        <w:t>We have nothing to report in respect of the following matters where the Isle of Man Companies Acts 1931 to 2004 require us to report to you if, in our opinion:</w:t>
      </w:r>
    </w:p>
    <w:p w:rsidR="009E045D" w:rsidRPr="00A76890" w:rsidRDefault="00847C3B" w:rsidP="00704CC0">
      <w:pPr>
        <w:pStyle w:val="Bullet1"/>
        <w:numPr>
          <w:ilvl w:val="0"/>
          <w:numId w:val="13"/>
        </w:numPr>
        <w:tabs>
          <w:tab w:val="left" w:pos="567"/>
          <w:tab w:val="left" w:pos="1134"/>
          <w:tab w:val="left" w:pos="1701"/>
          <w:tab w:val="left" w:pos="2268"/>
        </w:tabs>
        <w:spacing w:line="240" w:lineRule="auto"/>
        <w:ind w:left="567" w:hanging="567"/>
      </w:pPr>
      <w:r w:rsidRPr="00A76890">
        <w:t>proper books of account have not been kept, or returns adequate for our audit have not been received from branches not visited by us; or</w:t>
      </w:r>
    </w:p>
    <w:p w:rsidR="009E045D" w:rsidRPr="00A76890" w:rsidRDefault="00847C3B" w:rsidP="00704CC0">
      <w:pPr>
        <w:pStyle w:val="Bullet1"/>
        <w:numPr>
          <w:ilvl w:val="0"/>
          <w:numId w:val="13"/>
        </w:numPr>
        <w:tabs>
          <w:tab w:val="left" w:pos="567"/>
          <w:tab w:val="left" w:pos="1134"/>
          <w:tab w:val="left" w:pos="1701"/>
          <w:tab w:val="left" w:pos="2268"/>
        </w:tabs>
        <w:spacing w:line="240" w:lineRule="auto"/>
        <w:ind w:left="567" w:hanging="567"/>
      </w:pPr>
      <w:r w:rsidRPr="00A76890">
        <w:t>the financial statements are not in agreement with the accounting records and returns; or</w:t>
      </w:r>
    </w:p>
    <w:p w:rsidR="009E045D" w:rsidRPr="00A76890" w:rsidRDefault="00847C3B" w:rsidP="00704CC0">
      <w:pPr>
        <w:pStyle w:val="Bullet1"/>
        <w:numPr>
          <w:ilvl w:val="0"/>
          <w:numId w:val="13"/>
        </w:numPr>
        <w:tabs>
          <w:tab w:val="left" w:pos="567"/>
          <w:tab w:val="left" w:pos="1134"/>
          <w:tab w:val="left" w:pos="1701"/>
          <w:tab w:val="left" w:pos="2268"/>
        </w:tabs>
        <w:spacing w:line="240" w:lineRule="auto"/>
        <w:ind w:left="567" w:hanging="567"/>
      </w:pPr>
      <w:r w:rsidRPr="00A76890">
        <w:t>certain disclosures of Directors’ remuneration specified by law are not made; or</w:t>
      </w:r>
    </w:p>
    <w:p w:rsidR="009E045D" w:rsidRPr="00A76890" w:rsidRDefault="00847C3B" w:rsidP="00704CC0">
      <w:pPr>
        <w:pStyle w:val="Bullet1"/>
        <w:numPr>
          <w:ilvl w:val="0"/>
          <w:numId w:val="13"/>
        </w:numPr>
        <w:tabs>
          <w:tab w:val="left" w:pos="567"/>
          <w:tab w:val="left" w:pos="1134"/>
          <w:tab w:val="left" w:pos="1701"/>
          <w:tab w:val="left" w:pos="2268"/>
        </w:tabs>
        <w:spacing w:line="240" w:lineRule="auto"/>
        <w:ind w:left="567" w:hanging="567"/>
      </w:pPr>
      <w:proofErr w:type="gramStart"/>
      <w:r w:rsidRPr="00A76890">
        <w:t>we</w:t>
      </w:r>
      <w:proofErr w:type="gramEnd"/>
      <w:r w:rsidRPr="00A76890">
        <w:t xml:space="preserve"> have not received all the information and explanations we require for our audit. </w:t>
      </w:r>
    </w:p>
    <w:p w:rsidR="009E045D" w:rsidRDefault="009E045D" w:rsidP="00704CC0">
      <w:pPr>
        <w:pStyle w:val="Normal2-Para"/>
        <w:tabs>
          <w:tab w:val="left" w:pos="567"/>
          <w:tab w:val="left" w:pos="1134"/>
          <w:tab w:val="left" w:pos="1701"/>
          <w:tab w:val="left" w:pos="2268"/>
        </w:tabs>
        <w:spacing w:before="240" w:line="240" w:lineRule="auto"/>
        <w:jc w:val="left"/>
        <w:rPr>
          <w:b/>
        </w:rPr>
      </w:pPr>
      <w:r w:rsidRPr="00D4725F">
        <w:rPr>
          <w:b/>
        </w:rPr>
        <w:t>Grant Thornton</w:t>
      </w:r>
      <w:r w:rsidR="00D4725F">
        <w:rPr>
          <w:b/>
        </w:rPr>
        <w:br/>
      </w:r>
      <w:r w:rsidRPr="00D4725F">
        <w:rPr>
          <w:b/>
        </w:rPr>
        <w:t>Chartered Accountants</w:t>
      </w:r>
      <w:r w:rsidR="00D4725F">
        <w:rPr>
          <w:b/>
        </w:rPr>
        <w:br/>
      </w:r>
      <w:r w:rsidRPr="00D4725F">
        <w:rPr>
          <w:b/>
        </w:rPr>
        <w:t>Isle of Man</w:t>
      </w:r>
      <w:r w:rsidR="00D4725F">
        <w:rPr>
          <w:b/>
        </w:rPr>
        <w:br/>
      </w:r>
      <w:r w:rsidR="00EF5A34" w:rsidRPr="00D4725F">
        <w:rPr>
          <w:b/>
        </w:rPr>
        <w:t>26</w:t>
      </w:r>
      <w:r w:rsidRPr="00D4725F">
        <w:rPr>
          <w:b/>
        </w:rPr>
        <w:t xml:space="preserve"> </w:t>
      </w:r>
      <w:r w:rsidR="007E021E" w:rsidRPr="00D4725F">
        <w:rPr>
          <w:b/>
        </w:rPr>
        <w:t xml:space="preserve">February </w:t>
      </w:r>
      <w:r w:rsidR="004A6792" w:rsidRPr="00D4725F">
        <w:rPr>
          <w:b/>
        </w:rPr>
        <w:t>2014</w:t>
      </w:r>
    </w:p>
    <w:p w:rsidR="00A75BBF" w:rsidRPr="00704CC0" w:rsidRDefault="00A75BBF" w:rsidP="00704CC0">
      <w:pPr>
        <w:pStyle w:val="Heading2-Para"/>
        <w:spacing w:before="720"/>
        <w:rPr>
          <w:sz w:val="24"/>
          <w:szCs w:val="24"/>
        </w:rPr>
      </w:pPr>
      <w:bookmarkStart w:id="7" w:name="_Toc317955097"/>
      <w:r w:rsidRPr="00704CC0">
        <w:rPr>
          <w:sz w:val="24"/>
          <w:szCs w:val="24"/>
        </w:rPr>
        <w:t>Consolidated Statement of Comprehensive Income</w:t>
      </w:r>
      <w:bookmarkEnd w:id="7"/>
    </w:p>
    <w:bookmarkEnd w:id="2"/>
    <w:bookmarkEnd w:id="4"/>
    <w:bookmarkEnd w:id="5"/>
    <w:bookmarkEnd w:id="6"/>
    <w:tbl>
      <w:tblPr>
        <w:tblW w:w="8953" w:type="dxa"/>
        <w:tblLayout w:type="fixed"/>
        <w:tblCellMar>
          <w:top w:w="28" w:type="dxa"/>
          <w:left w:w="57" w:type="dxa"/>
          <w:bottom w:w="28" w:type="dxa"/>
          <w:right w:w="57" w:type="dxa"/>
        </w:tblCellMar>
        <w:tblLook w:val="04A0"/>
      </w:tblPr>
      <w:tblGrid>
        <w:gridCol w:w="4493"/>
        <w:gridCol w:w="673"/>
        <w:gridCol w:w="1774"/>
        <w:gridCol w:w="215"/>
        <w:gridCol w:w="1798"/>
      </w:tblGrid>
      <w:tr w:rsidR="009B523F" w:rsidRPr="006D2D0A" w:rsidTr="00562F9C">
        <w:trPr>
          <w:cantSplit/>
          <w:trHeight w:val="20"/>
        </w:trPr>
        <w:tc>
          <w:tcPr>
            <w:tcW w:w="2509" w:type="pct"/>
            <w:tcBorders>
              <w:top w:val="nil"/>
              <w:left w:val="nil"/>
              <w:bottom w:val="nil"/>
              <w:right w:val="nil"/>
            </w:tcBorders>
            <w:shd w:val="clear" w:color="auto" w:fill="auto"/>
            <w:noWrap/>
            <w:vAlign w:val="bottom"/>
          </w:tcPr>
          <w:p w:rsidR="009B523F" w:rsidRPr="006D2D0A" w:rsidRDefault="009B523F" w:rsidP="00704CC0">
            <w:pPr>
              <w:pStyle w:val="Heading2-Para"/>
              <w:widowControl w:val="0"/>
              <w:spacing w:before="480"/>
              <w:rPr>
                <w:sz w:val="18"/>
                <w:szCs w:val="18"/>
              </w:rPr>
            </w:pPr>
          </w:p>
        </w:tc>
        <w:tc>
          <w:tcPr>
            <w:tcW w:w="376" w:type="pct"/>
            <w:tcBorders>
              <w:top w:val="nil"/>
              <w:left w:val="nil"/>
              <w:bottom w:val="nil"/>
              <w:right w:val="nil"/>
            </w:tcBorders>
            <w:shd w:val="clear" w:color="auto" w:fill="auto"/>
            <w:noWrap/>
            <w:vAlign w:val="bottom"/>
          </w:tcPr>
          <w:p w:rsidR="009B523F" w:rsidRPr="006D2D0A" w:rsidRDefault="009B523F" w:rsidP="00704CC0">
            <w:pPr>
              <w:pStyle w:val="Normal-Table"/>
              <w:widowControl w:val="0"/>
              <w:tabs>
                <w:tab w:val="left" w:pos="567"/>
                <w:tab w:val="left" w:pos="1134"/>
                <w:tab w:val="left" w:pos="1701"/>
                <w:tab w:val="left" w:pos="2268"/>
              </w:tabs>
              <w:rPr>
                <w:sz w:val="18"/>
              </w:rPr>
            </w:pPr>
            <w:r w:rsidRPr="006D2D0A">
              <w:rPr>
                <w:sz w:val="18"/>
              </w:rPr>
              <w:t>Notes</w:t>
            </w:r>
          </w:p>
        </w:tc>
        <w:tc>
          <w:tcPr>
            <w:tcW w:w="991" w:type="pct"/>
            <w:tcBorders>
              <w:top w:val="nil"/>
              <w:left w:val="nil"/>
              <w:bottom w:val="nil"/>
              <w:right w:val="nil"/>
            </w:tcBorders>
            <w:shd w:val="clear" w:color="auto" w:fill="auto"/>
            <w:vAlign w:val="bottom"/>
          </w:tcPr>
          <w:p w:rsidR="009B523F" w:rsidRPr="006D2D0A" w:rsidRDefault="009B523F" w:rsidP="00704CC0">
            <w:pPr>
              <w:pStyle w:val="Normal-Table"/>
              <w:widowControl w:val="0"/>
              <w:tabs>
                <w:tab w:val="left" w:pos="567"/>
                <w:tab w:val="left" w:pos="1134"/>
                <w:tab w:val="left" w:pos="1701"/>
                <w:tab w:val="left" w:pos="2268"/>
              </w:tabs>
              <w:jc w:val="right"/>
              <w:rPr>
                <w:b/>
                <w:sz w:val="18"/>
              </w:rPr>
            </w:pPr>
            <w:r w:rsidRPr="006D2D0A">
              <w:rPr>
                <w:b/>
                <w:sz w:val="18"/>
              </w:rPr>
              <w:t>For  the year ended</w:t>
            </w:r>
            <w:r w:rsidR="00D4725F" w:rsidRPr="006D2D0A">
              <w:rPr>
                <w:b/>
                <w:sz w:val="18"/>
              </w:rPr>
              <w:br/>
              <w:t>31 August 2013</w:t>
            </w:r>
            <w:r w:rsidR="00D4725F" w:rsidRPr="006D2D0A">
              <w:rPr>
                <w:b/>
                <w:sz w:val="18"/>
              </w:rPr>
              <w:br/>
              <w:t>£'000</w:t>
            </w:r>
          </w:p>
        </w:tc>
        <w:tc>
          <w:tcPr>
            <w:tcW w:w="120" w:type="pct"/>
            <w:tcBorders>
              <w:top w:val="nil"/>
              <w:left w:val="nil"/>
              <w:bottom w:val="nil"/>
              <w:right w:val="nil"/>
            </w:tcBorders>
            <w:vAlign w:val="bottom"/>
          </w:tcPr>
          <w:p w:rsidR="009B523F" w:rsidRPr="006D2D0A" w:rsidRDefault="009B523F" w:rsidP="00704CC0">
            <w:pPr>
              <w:pStyle w:val="Normal-Table"/>
              <w:widowControl w:val="0"/>
              <w:tabs>
                <w:tab w:val="left" w:pos="567"/>
                <w:tab w:val="left" w:pos="1134"/>
                <w:tab w:val="left" w:pos="1701"/>
                <w:tab w:val="left" w:pos="2268"/>
              </w:tabs>
              <w:jc w:val="right"/>
              <w:rPr>
                <w:b/>
                <w:sz w:val="18"/>
              </w:rPr>
            </w:pPr>
          </w:p>
        </w:tc>
        <w:tc>
          <w:tcPr>
            <w:tcW w:w="1004" w:type="pct"/>
            <w:tcBorders>
              <w:top w:val="nil"/>
              <w:left w:val="nil"/>
              <w:bottom w:val="nil"/>
              <w:right w:val="nil"/>
            </w:tcBorders>
            <w:vAlign w:val="bottom"/>
          </w:tcPr>
          <w:p w:rsidR="009B523F" w:rsidRPr="006D2D0A" w:rsidRDefault="009B523F" w:rsidP="00704CC0">
            <w:pPr>
              <w:pStyle w:val="Normal-Table"/>
              <w:widowControl w:val="0"/>
              <w:tabs>
                <w:tab w:val="left" w:pos="567"/>
                <w:tab w:val="left" w:pos="1134"/>
                <w:tab w:val="left" w:pos="1701"/>
                <w:tab w:val="left" w:pos="2268"/>
              </w:tabs>
              <w:jc w:val="right"/>
              <w:rPr>
                <w:sz w:val="18"/>
              </w:rPr>
            </w:pPr>
            <w:r w:rsidRPr="006D2D0A">
              <w:rPr>
                <w:sz w:val="18"/>
              </w:rPr>
              <w:t>For  the year ended</w:t>
            </w:r>
            <w:r w:rsidR="00D4725F" w:rsidRPr="006D2D0A">
              <w:rPr>
                <w:sz w:val="18"/>
              </w:rPr>
              <w:br/>
              <w:t>31 August 2012</w:t>
            </w:r>
            <w:r w:rsidR="00D4725F" w:rsidRPr="006D2D0A">
              <w:rPr>
                <w:sz w:val="18"/>
              </w:rPr>
              <w:br/>
              <w:t>£'000</w:t>
            </w:r>
          </w:p>
        </w:tc>
      </w:tr>
      <w:tr w:rsidR="009B523F" w:rsidRPr="006D2D0A" w:rsidTr="00562F9C">
        <w:trPr>
          <w:cantSplit/>
          <w:trHeight w:val="20"/>
        </w:trPr>
        <w:tc>
          <w:tcPr>
            <w:tcW w:w="2509" w:type="pct"/>
            <w:tcBorders>
              <w:top w:val="nil"/>
              <w:left w:val="nil"/>
              <w:bottom w:val="nil"/>
              <w:right w:val="nil"/>
            </w:tcBorders>
            <w:shd w:val="clear" w:color="auto" w:fill="auto"/>
            <w:noWrap/>
            <w:vAlign w:val="bottom"/>
          </w:tcPr>
          <w:p w:rsidR="009B523F" w:rsidRPr="006D2D0A" w:rsidRDefault="009B523F" w:rsidP="00704CC0">
            <w:pPr>
              <w:pStyle w:val="Normal-Table"/>
              <w:widowControl w:val="0"/>
              <w:tabs>
                <w:tab w:val="left" w:pos="567"/>
                <w:tab w:val="left" w:pos="1134"/>
                <w:tab w:val="left" w:pos="1701"/>
                <w:tab w:val="left" w:pos="2268"/>
              </w:tabs>
              <w:rPr>
                <w:b/>
                <w:sz w:val="18"/>
              </w:rPr>
            </w:pPr>
            <w:r w:rsidRPr="006D2D0A">
              <w:rPr>
                <w:b/>
                <w:sz w:val="18"/>
              </w:rPr>
              <w:t>Revenue</w:t>
            </w:r>
          </w:p>
        </w:tc>
        <w:tc>
          <w:tcPr>
            <w:tcW w:w="376" w:type="pct"/>
            <w:tcBorders>
              <w:top w:val="nil"/>
              <w:left w:val="nil"/>
              <w:bottom w:val="nil"/>
              <w:right w:val="nil"/>
            </w:tcBorders>
            <w:shd w:val="clear" w:color="auto" w:fill="auto"/>
            <w:noWrap/>
            <w:vAlign w:val="bottom"/>
          </w:tcPr>
          <w:p w:rsidR="009B523F" w:rsidRPr="006D2D0A" w:rsidRDefault="009B523F" w:rsidP="00704CC0">
            <w:pPr>
              <w:pStyle w:val="Normal-Table"/>
              <w:widowControl w:val="0"/>
              <w:tabs>
                <w:tab w:val="left" w:pos="567"/>
                <w:tab w:val="left" w:pos="1134"/>
                <w:tab w:val="left" w:pos="1701"/>
                <w:tab w:val="left" w:pos="2268"/>
              </w:tabs>
              <w:rPr>
                <w:sz w:val="18"/>
              </w:rPr>
            </w:pPr>
          </w:p>
        </w:tc>
        <w:tc>
          <w:tcPr>
            <w:tcW w:w="991" w:type="pct"/>
            <w:tcBorders>
              <w:top w:val="nil"/>
              <w:left w:val="nil"/>
              <w:bottom w:val="nil"/>
              <w:right w:val="nil"/>
            </w:tcBorders>
            <w:shd w:val="clear" w:color="auto" w:fill="auto"/>
            <w:noWrap/>
            <w:vAlign w:val="bottom"/>
          </w:tcPr>
          <w:p w:rsidR="009B523F" w:rsidRPr="006D2D0A" w:rsidRDefault="009B523F" w:rsidP="00704CC0">
            <w:pPr>
              <w:pStyle w:val="Normal-Table"/>
              <w:widowControl w:val="0"/>
              <w:tabs>
                <w:tab w:val="left" w:pos="567"/>
                <w:tab w:val="left" w:pos="1134"/>
                <w:tab w:val="left" w:pos="1701"/>
                <w:tab w:val="left" w:pos="2268"/>
              </w:tabs>
              <w:jc w:val="right"/>
              <w:rPr>
                <w:sz w:val="18"/>
              </w:rPr>
            </w:pPr>
          </w:p>
        </w:tc>
        <w:tc>
          <w:tcPr>
            <w:tcW w:w="120" w:type="pct"/>
            <w:tcBorders>
              <w:top w:val="nil"/>
              <w:left w:val="nil"/>
              <w:bottom w:val="nil"/>
              <w:right w:val="nil"/>
            </w:tcBorders>
            <w:vAlign w:val="bottom"/>
          </w:tcPr>
          <w:p w:rsidR="009B523F" w:rsidRPr="006D2D0A" w:rsidRDefault="009B523F" w:rsidP="00704CC0">
            <w:pPr>
              <w:pStyle w:val="Normal-Table"/>
              <w:widowControl w:val="0"/>
              <w:tabs>
                <w:tab w:val="left" w:pos="567"/>
                <w:tab w:val="left" w:pos="1134"/>
                <w:tab w:val="left" w:pos="1701"/>
                <w:tab w:val="left" w:pos="2268"/>
              </w:tabs>
              <w:jc w:val="right"/>
              <w:rPr>
                <w:sz w:val="18"/>
              </w:rPr>
            </w:pPr>
          </w:p>
        </w:tc>
        <w:tc>
          <w:tcPr>
            <w:tcW w:w="1004" w:type="pct"/>
            <w:tcBorders>
              <w:top w:val="nil"/>
              <w:left w:val="nil"/>
              <w:bottom w:val="nil"/>
              <w:right w:val="nil"/>
            </w:tcBorders>
            <w:vAlign w:val="bottom"/>
          </w:tcPr>
          <w:p w:rsidR="009B523F" w:rsidRPr="006D2D0A" w:rsidRDefault="009B523F" w:rsidP="00704CC0">
            <w:pPr>
              <w:pStyle w:val="Normal-Table"/>
              <w:widowControl w:val="0"/>
              <w:tabs>
                <w:tab w:val="left" w:pos="567"/>
                <w:tab w:val="left" w:pos="1134"/>
                <w:tab w:val="left" w:pos="1701"/>
                <w:tab w:val="left" w:pos="2268"/>
              </w:tabs>
              <w:jc w:val="right"/>
              <w:rPr>
                <w:sz w:val="18"/>
              </w:rPr>
            </w:pPr>
          </w:p>
        </w:tc>
      </w:tr>
      <w:tr w:rsidR="005F536B" w:rsidRPr="006D2D0A" w:rsidTr="00562F9C">
        <w:trPr>
          <w:cantSplit/>
          <w:trHeight w:val="20"/>
        </w:trPr>
        <w:tc>
          <w:tcPr>
            <w:tcW w:w="2509" w:type="pct"/>
            <w:tcBorders>
              <w:top w:val="nil"/>
              <w:left w:val="nil"/>
              <w:bottom w:val="nil"/>
              <w:right w:val="nil"/>
            </w:tcBorders>
            <w:shd w:val="clear" w:color="auto" w:fill="auto"/>
            <w:noWrap/>
            <w:vAlign w:val="bottom"/>
          </w:tcPr>
          <w:p w:rsidR="005F536B" w:rsidRPr="006D2D0A" w:rsidRDefault="005F536B" w:rsidP="00704CC0">
            <w:pPr>
              <w:pStyle w:val="Normal-Table"/>
              <w:widowControl w:val="0"/>
              <w:tabs>
                <w:tab w:val="left" w:pos="567"/>
                <w:tab w:val="left" w:pos="1134"/>
                <w:tab w:val="left" w:pos="1701"/>
                <w:tab w:val="left" w:pos="2268"/>
              </w:tabs>
              <w:rPr>
                <w:sz w:val="18"/>
              </w:rPr>
            </w:pPr>
            <w:r w:rsidRPr="006D2D0A">
              <w:rPr>
                <w:sz w:val="18"/>
              </w:rPr>
              <w:t>Investment and other income</w:t>
            </w:r>
          </w:p>
        </w:tc>
        <w:tc>
          <w:tcPr>
            <w:tcW w:w="376" w:type="pct"/>
            <w:tcBorders>
              <w:top w:val="nil"/>
              <w:left w:val="nil"/>
              <w:bottom w:val="nil"/>
              <w:right w:val="nil"/>
            </w:tcBorders>
            <w:shd w:val="clear" w:color="auto" w:fill="auto"/>
            <w:noWrap/>
            <w:vAlign w:val="bottom"/>
          </w:tcPr>
          <w:p w:rsidR="005F536B" w:rsidRPr="006D2D0A" w:rsidRDefault="005F536B" w:rsidP="00704CC0">
            <w:pPr>
              <w:pStyle w:val="Normal-Table"/>
              <w:widowControl w:val="0"/>
              <w:tabs>
                <w:tab w:val="left" w:pos="567"/>
                <w:tab w:val="left" w:pos="1134"/>
                <w:tab w:val="left" w:pos="1701"/>
                <w:tab w:val="left" w:pos="2268"/>
              </w:tabs>
              <w:rPr>
                <w:sz w:val="18"/>
              </w:rPr>
            </w:pPr>
            <w:r w:rsidRPr="006D2D0A">
              <w:rPr>
                <w:sz w:val="18"/>
              </w:rPr>
              <w:t>7</w:t>
            </w:r>
          </w:p>
        </w:tc>
        <w:tc>
          <w:tcPr>
            <w:tcW w:w="991" w:type="pct"/>
            <w:tcBorders>
              <w:top w:val="nil"/>
              <w:left w:val="nil"/>
              <w:bottom w:val="nil"/>
              <w:right w:val="nil"/>
            </w:tcBorders>
            <w:shd w:val="clear" w:color="auto" w:fill="auto"/>
            <w:noWrap/>
            <w:vAlign w:val="bottom"/>
          </w:tcPr>
          <w:p w:rsidR="005F536B" w:rsidRPr="006D2D0A" w:rsidRDefault="0088752C" w:rsidP="00704CC0">
            <w:pPr>
              <w:pStyle w:val="Normal-Table"/>
              <w:widowControl w:val="0"/>
              <w:tabs>
                <w:tab w:val="left" w:pos="567"/>
                <w:tab w:val="left" w:pos="1134"/>
                <w:tab w:val="left" w:pos="1701"/>
                <w:tab w:val="left" w:pos="2268"/>
              </w:tabs>
              <w:jc w:val="right"/>
              <w:rPr>
                <w:b/>
                <w:sz w:val="18"/>
              </w:rPr>
            </w:pPr>
            <w:r w:rsidRPr="006D2D0A">
              <w:rPr>
                <w:b/>
                <w:sz w:val="18"/>
              </w:rPr>
              <w:t>198</w:t>
            </w:r>
          </w:p>
        </w:tc>
        <w:tc>
          <w:tcPr>
            <w:tcW w:w="120" w:type="pct"/>
            <w:tcBorders>
              <w:top w:val="nil"/>
              <w:left w:val="nil"/>
              <w:bottom w:val="nil"/>
              <w:right w:val="nil"/>
            </w:tcBorders>
            <w:vAlign w:val="bottom"/>
          </w:tcPr>
          <w:p w:rsidR="005F536B" w:rsidRPr="006D2D0A" w:rsidRDefault="005F536B" w:rsidP="00704CC0">
            <w:pPr>
              <w:pStyle w:val="Normal-Table"/>
              <w:widowControl w:val="0"/>
              <w:tabs>
                <w:tab w:val="left" w:pos="567"/>
                <w:tab w:val="left" w:pos="1134"/>
                <w:tab w:val="left" w:pos="1701"/>
                <w:tab w:val="left" w:pos="2268"/>
              </w:tabs>
              <w:jc w:val="right"/>
              <w:rPr>
                <w:sz w:val="18"/>
              </w:rPr>
            </w:pPr>
          </w:p>
        </w:tc>
        <w:tc>
          <w:tcPr>
            <w:tcW w:w="1004" w:type="pct"/>
            <w:tcBorders>
              <w:top w:val="nil"/>
              <w:left w:val="nil"/>
              <w:bottom w:val="nil"/>
              <w:right w:val="nil"/>
            </w:tcBorders>
            <w:vAlign w:val="bottom"/>
          </w:tcPr>
          <w:p w:rsidR="005F536B" w:rsidRPr="006D2D0A" w:rsidRDefault="005F536B" w:rsidP="00704CC0">
            <w:pPr>
              <w:pStyle w:val="Normal-Table"/>
              <w:widowControl w:val="0"/>
              <w:tabs>
                <w:tab w:val="left" w:pos="567"/>
                <w:tab w:val="left" w:pos="1134"/>
                <w:tab w:val="left" w:pos="1701"/>
                <w:tab w:val="left" w:pos="2268"/>
              </w:tabs>
              <w:jc w:val="right"/>
              <w:rPr>
                <w:sz w:val="18"/>
              </w:rPr>
            </w:pPr>
            <w:r w:rsidRPr="006D2D0A">
              <w:rPr>
                <w:sz w:val="18"/>
              </w:rPr>
              <w:t>352</w:t>
            </w:r>
          </w:p>
        </w:tc>
      </w:tr>
      <w:tr w:rsidR="005F536B" w:rsidRPr="006D2D0A" w:rsidTr="00562F9C">
        <w:trPr>
          <w:cantSplit/>
          <w:trHeight w:val="20"/>
        </w:trPr>
        <w:tc>
          <w:tcPr>
            <w:tcW w:w="2509" w:type="pct"/>
            <w:tcBorders>
              <w:top w:val="nil"/>
              <w:left w:val="nil"/>
              <w:bottom w:val="nil"/>
              <w:right w:val="nil"/>
            </w:tcBorders>
            <w:shd w:val="clear" w:color="auto" w:fill="auto"/>
            <w:noWrap/>
            <w:vAlign w:val="bottom"/>
          </w:tcPr>
          <w:p w:rsidR="005F536B" w:rsidRPr="006D2D0A" w:rsidRDefault="005F536B" w:rsidP="00704CC0">
            <w:pPr>
              <w:pStyle w:val="Normal-Table"/>
              <w:widowControl w:val="0"/>
              <w:tabs>
                <w:tab w:val="left" w:pos="567"/>
                <w:tab w:val="left" w:pos="1134"/>
                <w:tab w:val="left" w:pos="1701"/>
                <w:tab w:val="left" w:pos="2268"/>
              </w:tabs>
              <w:rPr>
                <w:b/>
                <w:sz w:val="18"/>
              </w:rPr>
            </w:pPr>
            <w:r w:rsidRPr="006D2D0A">
              <w:rPr>
                <w:b/>
                <w:sz w:val="18"/>
              </w:rPr>
              <w:t>Net losses on financial assets at fair value through profit or loss</w:t>
            </w:r>
          </w:p>
        </w:tc>
        <w:tc>
          <w:tcPr>
            <w:tcW w:w="376" w:type="pct"/>
            <w:tcBorders>
              <w:top w:val="nil"/>
              <w:left w:val="nil"/>
              <w:bottom w:val="nil"/>
              <w:right w:val="nil"/>
            </w:tcBorders>
            <w:shd w:val="clear" w:color="auto" w:fill="auto"/>
            <w:noWrap/>
          </w:tcPr>
          <w:p w:rsidR="005F536B" w:rsidRPr="006D2D0A" w:rsidRDefault="005F536B" w:rsidP="00704CC0">
            <w:pPr>
              <w:pStyle w:val="Normal-Table"/>
              <w:widowControl w:val="0"/>
              <w:tabs>
                <w:tab w:val="left" w:pos="567"/>
                <w:tab w:val="left" w:pos="1134"/>
                <w:tab w:val="left" w:pos="1701"/>
                <w:tab w:val="left" w:pos="2268"/>
              </w:tabs>
              <w:rPr>
                <w:sz w:val="18"/>
              </w:rPr>
            </w:pPr>
            <w:r w:rsidRPr="006D2D0A">
              <w:rPr>
                <w:sz w:val="18"/>
              </w:rPr>
              <w:t>8</w:t>
            </w:r>
          </w:p>
        </w:tc>
        <w:tc>
          <w:tcPr>
            <w:tcW w:w="991" w:type="pct"/>
            <w:tcBorders>
              <w:top w:val="nil"/>
              <w:left w:val="nil"/>
              <w:bottom w:val="nil"/>
              <w:right w:val="nil"/>
            </w:tcBorders>
            <w:shd w:val="clear" w:color="auto" w:fill="auto"/>
            <w:noWrap/>
            <w:vAlign w:val="bottom"/>
          </w:tcPr>
          <w:p w:rsidR="005F536B" w:rsidRPr="006D2D0A" w:rsidRDefault="0088752C" w:rsidP="00704CC0">
            <w:pPr>
              <w:pStyle w:val="Normal-Table"/>
              <w:widowControl w:val="0"/>
              <w:tabs>
                <w:tab w:val="left" w:pos="567"/>
                <w:tab w:val="left" w:pos="1134"/>
                <w:tab w:val="left" w:pos="1701"/>
                <w:tab w:val="left" w:pos="2268"/>
              </w:tabs>
              <w:jc w:val="right"/>
              <w:rPr>
                <w:b/>
                <w:sz w:val="18"/>
              </w:rPr>
            </w:pPr>
            <w:r w:rsidRPr="006D2D0A">
              <w:rPr>
                <w:b/>
                <w:sz w:val="18"/>
              </w:rPr>
              <w:t>(3,009)</w:t>
            </w:r>
          </w:p>
        </w:tc>
        <w:tc>
          <w:tcPr>
            <w:tcW w:w="120" w:type="pct"/>
            <w:tcBorders>
              <w:top w:val="nil"/>
              <w:left w:val="nil"/>
              <w:bottom w:val="nil"/>
              <w:right w:val="nil"/>
            </w:tcBorders>
            <w:vAlign w:val="bottom"/>
          </w:tcPr>
          <w:p w:rsidR="005F536B" w:rsidRPr="006D2D0A" w:rsidRDefault="005F536B" w:rsidP="00704CC0">
            <w:pPr>
              <w:pStyle w:val="Normal-Table"/>
              <w:widowControl w:val="0"/>
              <w:tabs>
                <w:tab w:val="left" w:pos="567"/>
                <w:tab w:val="left" w:pos="1134"/>
                <w:tab w:val="left" w:pos="1701"/>
                <w:tab w:val="left" w:pos="2268"/>
              </w:tabs>
              <w:jc w:val="right"/>
              <w:rPr>
                <w:sz w:val="18"/>
              </w:rPr>
            </w:pPr>
          </w:p>
        </w:tc>
        <w:tc>
          <w:tcPr>
            <w:tcW w:w="1004" w:type="pct"/>
            <w:tcBorders>
              <w:top w:val="nil"/>
              <w:left w:val="nil"/>
              <w:bottom w:val="nil"/>
              <w:right w:val="nil"/>
            </w:tcBorders>
            <w:vAlign w:val="bottom"/>
          </w:tcPr>
          <w:p w:rsidR="005F536B" w:rsidRPr="006D2D0A" w:rsidRDefault="005F536B" w:rsidP="00704CC0">
            <w:pPr>
              <w:pStyle w:val="Normal-Table"/>
              <w:widowControl w:val="0"/>
              <w:tabs>
                <w:tab w:val="left" w:pos="567"/>
                <w:tab w:val="left" w:pos="1134"/>
                <w:tab w:val="left" w:pos="1701"/>
                <w:tab w:val="left" w:pos="2268"/>
              </w:tabs>
              <w:jc w:val="right"/>
              <w:rPr>
                <w:sz w:val="18"/>
              </w:rPr>
            </w:pPr>
            <w:r w:rsidRPr="006D2D0A">
              <w:rPr>
                <w:sz w:val="18"/>
              </w:rPr>
              <w:t>(3,211)</w:t>
            </w:r>
          </w:p>
        </w:tc>
      </w:tr>
      <w:tr w:rsidR="005F536B" w:rsidRPr="006D2D0A" w:rsidTr="00562F9C">
        <w:trPr>
          <w:cantSplit/>
          <w:trHeight w:val="20"/>
        </w:trPr>
        <w:tc>
          <w:tcPr>
            <w:tcW w:w="2509" w:type="pct"/>
            <w:tcBorders>
              <w:top w:val="nil"/>
              <w:left w:val="nil"/>
              <w:bottom w:val="nil"/>
              <w:right w:val="nil"/>
            </w:tcBorders>
            <w:shd w:val="clear" w:color="auto" w:fill="auto"/>
            <w:noWrap/>
            <w:vAlign w:val="bottom"/>
          </w:tcPr>
          <w:p w:rsidR="005F536B" w:rsidRPr="006D2D0A" w:rsidRDefault="005F536B" w:rsidP="00704CC0">
            <w:pPr>
              <w:pStyle w:val="Normal-Table"/>
              <w:widowControl w:val="0"/>
              <w:tabs>
                <w:tab w:val="left" w:pos="567"/>
                <w:tab w:val="left" w:pos="1134"/>
                <w:tab w:val="left" w:pos="1701"/>
                <w:tab w:val="left" w:pos="2268"/>
              </w:tabs>
              <w:rPr>
                <w:b/>
                <w:sz w:val="18"/>
              </w:rPr>
            </w:pPr>
            <w:r w:rsidRPr="006D2D0A">
              <w:rPr>
                <w:b/>
                <w:sz w:val="18"/>
              </w:rPr>
              <w:t>Other income</w:t>
            </w:r>
          </w:p>
        </w:tc>
        <w:tc>
          <w:tcPr>
            <w:tcW w:w="376" w:type="pct"/>
            <w:tcBorders>
              <w:top w:val="nil"/>
              <w:left w:val="nil"/>
              <w:bottom w:val="nil"/>
              <w:right w:val="nil"/>
            </w:tcBorders>
            <w:shd w:val="clear" w:color="auto" w:fill="auto"/>
            <w:noWrap/>
            <w:vAlign w:val="bottom"/>
          </w:tcPr>
          <w:p w:rsidR="005F536B" w:rsidRPr="006D2D0A" w:rsidRDefault="005F536B" w:rsidP="00704CC0">
            <w:pPr>
              <w:pStyle w:val="Normal-Table"/>
              <w:widowControl w:val="0"/>
              <w:tabs>
                <w:tab w:val="left" w:pos="567"/>
                <w:tab w:val="left" w:pos="1134"/>
                <w:tab w:val="left" w:pos="1701"/>
                <w:tab w:val="left" w:pos="2268"/>
              </w:tabs>
              <w:rPr>
                <w:sz w:val="18"/>
              </w:rPr>
            </w:pPr>
          </w:p>
        </w:tc>
        <w:tc>
          <w:tcPr>
            <w:tcW w:w="991" w:type="pct"/>
            <w:tcBorders>
              <w:top w:val="nil"/>
              <w:left w:val="nil"/>
              <w:bottom w:val="nil"/>
              <w:right w:val="nil"/>
            </w:tcBorders>
            <w:shd w:val="clear" w:color="auto" w:fill="auto"/>
            <w:noWrap/>
            <w:vAlign w:val="bottom"/>
          </w:tcPr>
          <w:p w:rsidR="005F536B" w:rsidRPr="006D2D0A" w:rsidRDefault="005F536B" w:rsidP="00704CC0">
            <w:pPr>
              <w:pStyle w:val="Normal-Table"/>
              <w:widowControl w:val="0"/>
              <w:tabs>
                <w:tab w:val="left" w:pos="567"/>
                <w:tab w:val="left" w:pos="1134"/>
                <w:tab w:val="left" w:pos="1701"/>
                <w:tab w:val="left" w:pos="2268"/>
              </w:tabs>
              <w:jc w:val="right"/>
              <w:rPr>
                <w:b/>
                <w:sz w:val="18"/>
              </w:rPr>
            </w:pPr>
          </w:p>
        </w:tc>
        <w:tc>
          <w:tcPr>
            <w:tcW w:w="120" w:type="pct"/>
            <w:tcBorders>
              <w:top w:val="nil"/>
              <w:left w:val="nil"/>
              <w:bottom w:val="nil"/>
              <w:right w:val="nil"/>
            </w:tcBorders>
            <w:vAlign w:val="bottom"/>
          </w:tcPr>
          <w:p w:rsidR="005F536B" w:rsidRPr="006D2D0A" w:rsidRDefault="005F536B" w:rsidP="00704CC0">
            <w:pPr>
              <w:pStyle w:val="Normal-Table"/>
              <w:widowControl w:val="0"/>
              <w:tabs>
                <w:tab w:val="left" w:pos="567"/>
                <w:tab w:val="left" w:pos="1134"/>
                <w:tab w:val="left" w:pos="1701"/>
                <w:tab w:val="left" w:pos="2268"/>
              </w:tabs>
              <w:jc w:val="right"/>
              <w:rPr>
                <w:sz w:val="18"/>
              </w:rPr>
            </w:pPr>
          </w:p>
        </w:tc>
        <w:tc>
          <w:tcPr>
            <w:tcW w:w="1004" w:type="pct"/>
            <w:tcBorders>
              <w:top w:val="nil"/>
              <w:left w:val="nil"/>
              <w:bottom w:val="nil"/>
              <w:right w:val="nil"/>
            </w:tcBorders>
            <w:vAlign w:val="bottom"/>
          </w:tcPr>
          <w:p w:rsidR="005F536B" w:rsidRPr="006D2D0A" w:rsidRDefault="005F536B" w:rsidP="00704CC0">
            <w:pPr>
              <w:pStyle w:val="Normal-Table"/>
              <w:widowControl w:val="0"/>
              <w:tabs>
                <w:tab w:val="left" w:pos="567"/>
                <w:tab w:val="left" w:pos="1134"/>
                <w:tab w:val="left" w:pos="1701"/>
                <w:tab w:val="left" w:pos="2268"/>
              </w:tabs>
              <w:jc w:val="right"/>
              <w:rPr>
                <w:sz w:val="18"/>
              </w:rPr>
            </w:pPr>
          </w:p>
        </w:tc>
      </w:tr>
      <w:tr w:rsidR="00D4725F" w:rsidRPr="006D2D0A" w:rsidTr="00562F9C">
        <w:trPr>
          <w:cantSplit/>
          <w:trHeight w:val="20"/>
        </w:trPr>
        <w:tc>
          <w:tcPr>
            <w:tcW w:w="2509"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rPr>
                <w:sz w:val="18"/>
              </w:rPr>
            </w:pPr>
            <w:r w:rsidRPr="006D2D0A">
              <w:rPr>
                <w:sz w:val="18"/>
              </w:rPr>
              <w:t>Net foreign exchange gain</w:t>
            </w:r>
          </w:p>
        </w:tc>
        <w:tc>
          <w:tcPr>
            <w:tcW w:w="376"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rPr>
                <w:sz w:val="18"/>
              </w:rPr>
            </w:pPr>
          </w:p>
        </w:tc>
        <w:tc>
          <w:tcPr>
            <w:tcW w:w="991" w:type="pct"/>
            <w:tcBorders>
              <w:top w:val="nil"/>
              <w:left w:val="nil"/>
              <w:bottom w:val="single" w:sz="4" w:space="0" w:color="auto"/>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jc w:val="right"/>
              <w:rPr>
                <w:b/>
                <w:sz w:val="18"/>
              </w:rPr>
            </w:pPr>
            <w:r w:rsidRPr="006D2D0A">
              <w:rPr>
                <w:b/>
                <w:sz w:val="18"/>
              </w:rPr>
              <w:t>19</w:t>
            </w:r>
          </w:p>
        </w:tc>
        <w:tc>
          <w:tcPr>
            <w:tcW w:w="120" w:type="pct"/>
            <w:tcBorders>
              <w:top w:val="nil"/>
              <w:left w:val="nil"/>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rPr>
            </w:pPr>
          </w:p>
        </w:tc>
        <w:tc>
          <w:tcPr>
            <w:tcW w:w="1004" w:type="pct"/>
            <w:tcBorders>
              <w:top w:val="nil"/>
              <w:left w:val="nil"/>
              <w:bottom w:val="single" w:sz="4" w:space="0" w:color="auto"/>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rPr>
            </w:pPr>
            <w:r w:rsidRPr="006D2D0A">
              <w:rPr>
                <w:sz w:val="18"/>
              </w:rPr>
              <w:t>7</w:t>
            </w:r>
          </w:p>
        </w:tc>
      </w:tr>
      <w:tr w:rsidR="00D4725F" w:rsidRPr="006D2D0A" w:rsidTr="00562F9C">
        <w:trPr>
          <w:cantSplit/>
          <w:trHeight w:val="20"/>
        </w:trPr>
        <w:tc>
          <w:tcPr>
            <w:tcW w:w="2509"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rPr>
                <w:sz w:val="18"/>
              </w:rPr>
            </w:pPr>
          </w:p>
        </w:tc>
        <w:tc>
          <w:tcPr>
            <w:tcW w:w="376"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rPr>
                <w:sz w:val="18"/>
              </w:rPr>
            </w:pPr>
          </w:p>
        </w:tc>
        <w:tc>
          <w:tcPr>
            <w:tcW w:w="991"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jc w:val="right"/>
              <w:rPr>
                <w:b/>
                <w:sz w:val="18"/>
              </w:rPr>
            </w:pPr>
            <w:r w:rsidRPr="006D2D0A">
              <w:rPr>
                <w:b/>
                <w:sz w:val="18"/>
              </w:rPr>
              <w:t>(2,792)</w:t>
            </w:r>
          </w:p>
        </w:tc>
        <w:tc>
          <w:tcPr>
            <w:tcW w:w="120" w:type="pct"/>
            <w:tcBorders>
              <w:top w:val="nil"/>
              <w:left w:val="nil"/>
              <w:bottom w:val="nil"/>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rPr>
            </w:pPr>
          </w:p>
        </w:tc>
        <w:tc>
          <w:tcPr>
            <w:tcW w:w="1004" w:type="pct"/>
            <w:tcBorders>
              <w:top w:val="single" w:sz="4" w:space="0" w:color="auto"/>
              <w:left w:val="nil"/>
              <w:bottom w:val="nil"/>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rPr>
            </w:pPr>
            <w:r w:rsidRPr="006D2D0A">
              <w:rPr>
                <w:sz w:val="18"/>
              </w:rPr>
              <w:t>(2,852)</w:t>
            </w:r>
          </w:p>
        </w:tc>
      </w:tr>
      <w:tr w:rsidR="00D4725F" w:rsidRPr="006D2D0A" w:rsidTr="00562F9C">
        <w:trPr>
          <w:cantSplit/>
          <w:trHeight w:val="20"/>
        </w:trPr>
        <w:tc>
          <w:tcPr>
            <w:tcW w:w="2509"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rPr>
                <w:b/>
                <w:sz w:val="18"/>
              </w:rPr>
            </w:pPr>
            <w:r w:rsidRPr="006D2D0A">
              <w:rPr>
                <w:b/>
                <w:sz w:val="18"/>
              </w:rPr>
              <w:t>Expenses</w:t>
            </w:r>
          </w:p>
        </w:tc>
        <w:tc>
          <w:tcPr>
            <w:tcW w:w="376"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rPr>
                <w:sz w:val="18"/>
              </w:rPr>
            </w:pPr>
          </w:p>
        </w:tc>
        <w:tc>
          <w:tcPr>
            <w:tcW w:w="991"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jc w:val="right"/>
              <w:rPr>
                <w:b/>
                <w:sz w:val="18"/>
              </w:rPr>
            </w:pPr>
          </w:p>
        </w:tc>
        <w:tc>
          <w:tcPr>
            <w:tcW w:w="120" w:type="pct"/>
            <w:tcBorders>
              <w:top w:val="nil"/>
              <w:left w:val="nil"/>
              <w:bottom w:val="nil"/>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rPr>
            </w:pPr>
          </w:p>
        </w:tc>
        <w:tc>
          <w:tcPr>
            <w:tcW w:w="1004" w:type="pct"/>
            <w:tcBorders>
              <w:top w:val="nil"/>
              <w:left w:val="nil"/>
              <w:bottom w:val="nil"/>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rPr>
            </w:pPr>
          </w:p>
        </w:tc>
      </w:tr>
      <w:tr w:rsidR="00D4725F" w:rsidRPr="006D2D0A" w:rsidTr="00562F9C">
        <w:trPr>
          <w:cantSplit/>
          <w:trHeight w:val="20"/>
        </w:trPr>
        <w:tc>
          <w:tcPr>
            <w:tcW w:w="2509"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rPr>
                <w:sz w:val="18"/>
              </w:rPr>
            </w:pPr>
            <w:r w:rsidRPr="006D2D0A">
              <w:rPr>
                <w:sz w:val="18"/>
              </w:rPr>
              <w:t>Management fees</w:t>
            </w:r>
          </w:p>
        </w:tc>
        <w:tc>
          <w:tcPr>
            <w:tcW w:w="376"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rPr>
                <w:sz w:val="18"/>
              </w:rPr>
            </w:pPr>
            <w:r w:rsidRPr="006D2D0A">
              <w:rPr>
                <w:sz w:val="18"/>
              </w:rPr>
              <w:t>9</w:t>
            </w:r>
          </w:p>
        </w:tc>
        <w:tc>
          <w:tcPr>
            <w:tcW w:w="991"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jc w:val="right"/>
              <w:rPr>
                <w:b/>
                <w:sz w:val="18"/>
              </w:rPr>
            </w:pPr>
            <w:r w:rsidRPr="006D2D0A">
              <w:rPr>
                <w:b/>
                <w:sz w:val="18"/>
              </w:rPr>
              <w:t>(440)</w:t>
            </w:r>
          </w:p>
        </w:tc>
        <w:tc>
          <w:tcPr>
            <w:tcW w:w="120" w:type="pct"/>
            <w:tcBorders>
              <w:top w:val="nil"/>
              <w:left w:val="nil"/>
              <w:bottom w:val="nil"/>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highlight w:val="yellow"/>
              </w:rPr>
            </w:pPr>
          </w:p>
        </w:tc>
        <w:tc>
          <w:tcPr>
            <w:tcW w:w="1004" w:type="pct"/>
            <w:tcBorders>
              <w:top w:val="nil"/>
              <w:left w:val="nil"/>
              <w:bottom w:val="nil"/>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rPr>
            </w:pPr>
            <w:r w:rsidRPr="006D2D0A">
              <w:rPr>
                <w:sz w:val="18"/>
              </w:rPr>
              <w:t>(555)</w:t>
            </w:r>
          </w:p>
        </w:tc>
      </w:tr>
      <w:tr w:rsidR="00D4725F" w:rsidRPr="006D2D0A" w:rsidTr="00562F9C">
        <w:trPr>
          <w:cantSplit/>
          <w:trHeight w:val="20"/>
        </w:trPr>
        <w:tc>
          <w:tcPr>
            <w:tcW w:w="2509"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rPr>
                <w:sz w:val="18"/>
              </w:rPr>
            </w:pPr>
            <w:r w:rsidRPr="006D2D0A">
              <w:rPr>
                <w:sz w:val="18"/>
              </w:rPr>
              <w:t>Other expenses</w:t>
            </w:r>
          </w:p>
        </w:tc>
        <w:tc>
          <w:tcPr>
            <w:tcW w:w="376" w:type="pct"/>
            <w:tcBorders>
              <w:top w:val="nil"/>
              <w:left w:val="nil"/>
              <w:bottom w:val="nil"/>
              <w:right w:val="nil"/>
            </w:tcBorders>
            <w:shd w:val="clear" w:color="auto" w:fill="auto"/>
            <w:noWrap/>
          </w:tcPr>
          <w:p w:rsidR="00D4725F" w:rsidRPr="006D2D0A" w:rsidRDefault="00D4725F" w:rsidP="00704CC0">
            <w:pPr>
              <w:pStyle w:val="Normal-Table"/>
              <w:widowControl w:val="0"/>
              <w:tabs>
                <w:tab w:val="left" w:pos="567"/>
                <w:tab w:val="left" w:pos="1134"/>
                <w:tab w:val="left" w:pos="1701"/>
                <w:tab w:val="left" w:pos="2268"/>
              </w:tabs>
              <w:rPr>
                <w:sz w:val="18"/>
              </w:rPr>
            </w:pPr>
            <w:r w:rsidRPr="006D2D0A">
              <w:rPr>
                <w:sz w:val="18"/>
              </w:rPr>
              <w:t>10</w:t>
            </w:r>
          </w:p>
        </w:tc>
        <w:tc>
          <w:tcPr>
            <w:tcW w:w="991"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jc w:val="right"/>
              <w:rPr>
                <w:b/>
                <w:sz w:val="18"/>
              </w:rPr>
            </w:pPr>
            <w:r w:rsidRPr="006D2D0A">
              <w:rPr>
                <w:b/>
                <w:sz w:val="18"/>
              </w:rPr>
              <w:t>(623)</w:t>
            </w:r>
          </w:p>
        </w:tc>
        <w:tc>
          <w:tcPr>
            <w:tcW w:w="120" w:type="pct"/>
            <w:tcBorders>
              <w:top w:val="nil"/>
              <w:left w:val="nil"/>
              <w:bottom w:val="nil"/>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rPr>
            </w:pPr>
          </w:p>
        </w:tc>
        <w:tc>
          <w:tcPr>
            <w:tcW w:w="1004" w:type="pct"/>
            <w:tcBorders>
              <w:top w:val="nil"/>
              <w:left w:val="nil"/>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rPr>
            </w:pPr>
            <w:r w:rsidRPr="006D2D0A">
              <w:rPr>
                <w:sz w:val="18"/>
              </w:rPr>
              <w:t>(824)</w:t>
            </w:r>
          </w:p>
        </w:tc>
      </w:tr>
      <w:tr w:rsidR="00D4725F" w:rsidRPr="006D2D0A" w:rsidTr="00562F9C">
        <w:trPr>
          <w:cantSplit/>
          <w:trHeight w:val="20"/>
        </w:trPr>
        <w:tc>
          <w:tcPr>
            <w:tcW w:w="2509" w:type="pct"/>
            <w:tcBorders>
              <w:top w:val="nil"/>
              <w:left w:val="nil"/>
              <w:bottom w:val="nil"/>
              <w:right w:val="nil"/>
            </w:tcBorders>
            <w:shd w:val="clear" w:color="auto" w:fill="auto"/>
            <w:noWrap/>
          </w:tcPr>
          <w:p w:rsidR="00D4725F" w:rsidRPr="006D2D0A" w:rsidRDefault="00D4725F" w:rsidP="00704CC0">
            <w:pPr>
              <w:pStyle w:val="Normal-Table"/>
              <w:widowControl w:val="0"/>
              <w:tabs>
                <w:tab w:val="left" w:pos="567"/>
                <w:tab w:val="left" w:pos="1134"/>
                <w:tab w:val="left" w:pos="1701"/>
                <w:tab w:val="left" w:pos="2268"/>
              </w:tabs>
              <w:rPr>
                <w:b/>
                <w:sz w:val="18"/>
              </w:rPr>
            </w:pPr>
            <w:r w:rsidRPr="006D2D0A">
              <w:rPr>
                <w:b/>
                <w:sz w:val="18"/>
              </w:rPr>
              <w:t>Loss before finance costs and tax</w:t>
            </w:r>
          </w:p>
        </w:tc>
        <w:tc>
          <w:tcPr>
            <w:tcW w:w="376" w:type="pct"/>
            <w:tcBorders>
              <w:top w:val="nil"/>
              <w:left w:val="nil"/>
              <w:bottom w:val="nil"/>
              <w:right w:val="nil"/>
            </w:tcBorders>
            <w:shd w:val="clear" w:color="auto" w:fill="auto"/>
            <w:noWrap/>
          </w:tcPr>
          <w:p w:rsidR="00D4725F" w:rsidRPr="006D2D0A" w:rsidRDefault="00D4725F" w:rsidP="00704CC0">
            <w:pPr>
              <w:pStyle w:val="Normal-Table"/>
              <w:widowControl w:val="0"/>
              <w:tabs>
                <w:tab w:val="left" w:pos="567"/>
                <w:tab w:val="left" w:pos="1134"/>
                <w:tab w:val="left" w:pos="1701"/>
                <w:tab w:val="left" w:pos="2268"/>
              </w:tabs>
              <w:rPr>
                <w:sz w:val="18"/>
              </w:rPr>
            </w:pPr>
          </w:p>
        </w:tc>
        <w:tc>
          <w:tcPr>
            <w:tcW w:w="991" w:type="pct"/>
            <w:tcBorders>
              <w:top w:val="single" w:sz="4" w:space="0" w:color="auto"/>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jc w:val="right"/>
              <w:rPr>
                <w:b/>
                <w:sz w:val="18"/>
              </w:rPr>
            </w:pPr>
            <w:r w:rsidRPr="006D2D0A">
              <w:rPr>
                <w:b/>
                <w:sz w:val="18"/>
              </w:rPr>
              <w:t>(3,855)</w:t>
            </w:r>
          </w:p>
        </w:tc>
        <w:tc>
          <w:tcPr>
            <w:tcW w:w="120" w:type="pct"/>
            <w:tcBorders>
              <w:left w:val="nil"/>
              <w:bottom w:val="nil"/>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rPr>
            </w:pPr>
          </w:p>
        </w:tc>
        <w:tc>
          <w:tcPr>
            <w:tcW w:w="1004" w:type="pct"/>
            <w:tcBorders>
              <w:top w:val="single" w:sz="4" w:space="0" w:color="auto"/>
              <w:left w:val="nil"/>
              <w:bottom w:val="nil"/>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rPr>
            </w:pPr>
            <w:r w:rsidRPr="006D2D0A">
              <w:rPr>
                <w:sz w:val="18"/>
              </w:rPr>
              <w:t>(4,231)</w:t>
            </w:r>
          </w:p>
        </w:tc>
      </w:tr>
      <w:tr w:rsidR="00D4725F" w:rsidRPr="006D2D0A" w:rsidTr="00562F9C">
        <w:trPr>
          <w:cantSplit/>
          <w:trHeight w:val="20"/>
        </w:trPr>
        <w:tc>
          <w:tcPr>
            <w:tcW w:w="2509"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rPr>
                <w:sz w:val="18"/>
              </w:rPr>
            </w:pPr>
            <w:r w:rsidRPr="006D2D0A">
              <w:rPr>
                <w:sz w:val="18"/>
              </w:rPr>
              <w:t>Finance costs</w:t>
            </w:r>
          </w:p>
        </w:tc>
        <w:tc>
          <w:tcPr>
            <w:tcW w:w="376"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rPr>
                <w:sz w:val="18"/>
              </w:rPr>
            </w:pPr>
          </w:p>
        </w:tc>
        <w:tc>
          <w:tcPr>
            <w:tcW w:w="991"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jc w:val="right"/>
              <w:rPr>
                <w:b/>
                <w:sz w:val="18"/>
              </w:rPr>
            </w:pPr>
            <w:r w:rsidRPr="006D2D0A">
              <w:rPr>
                <w:b/>
                <w:sz w:val="18"/>
              </w:rPr>
              <w:t>(4)</w:t>
            </w:r>
          </w:p>
        </w:tc>
        <w:tc>
          <w:tcPr>
            <w:tcW w:w="120" w:type="pct"/>
            <w:tcBorders>
              <w:top w:val="nil"/>
              <w:left w:val="nil"/>
              <w:bottom w:val="nil"/>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rPr>
            </w:pPr>
          </w:p>
        </w:tc>
        <w:tc>
          <w:tcPr>
            <w:tcW w:w="1004" w:type="pct"/>
            <w:tcBorders>
              <w:top w:val="nil"/>
              <w:left w:val="nil"/>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rPr>
            </w:pPr>
            <w:r w:rsidRPr="006D2D0A">
              <w:rPr>
                <w:sz w:val="18"/>
              </w:rPr>
              <w:t>(3)</w:t>
            </w:r>
          </w:p>
        </w:tc>
      </w:tr>
      <w:tr w:rsidR="00D4725F" w:rsidRPr="006D2D0A" w:rsidTr="00562F9C">
        <w:trPr>
          <w:cantSplit/>
          <w:trHeight w:val="20"/>
        </w:trPr>
        <w:tc>
          <w:tcPr>
            <w:tcW w:w="2509"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rPr>
                <w:b/>
                <w:sz w:val="18"/>
              </w:rPr>
            </w:pPr>
            <w:r w:rsidRPr="006D2D0A">
              <w:rPr>
                <w:b/>
                <w:sz w:val="18"/>
              </w:rPr>
              <w:t xml:space="preserve">Loss before tax </w:t>
            </w:r>
          </w:p>
        </w:tc>
        <w:tc>
          <w:tcPr>
            <w:tcW w:w="376"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rPr>
                <w:sz w:val="18"/>
              </w:rPr>
            </w:pPr>
          </w:p>
        </w:tc>
        <w:tc>
          <w:tcPr>
            <w:tcW w:w="991" w:type="pct"/>
            <w:tcBorders>
              <w:top w:val="single" w:sz="4" w:space="0" w:color="auto"/>
              <w:left w:val="nil"/>
              <w:bottom w:val="single" w:sz="4" w:space="0" w:color="auto"/>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jc w:val="right"/>
              <w:rPr>
                <w:b/>
                <w:sz w:val="18"/>
              </w:rPr>
            </w:pPr>
            <w:r w:rsidRPr="006D2D0A">
              <w:rPr>
                <w:b/>
                <w:sz w:val="18"/>
              </w:rPr>
              <w:t>(3,859)</w:t>
            </w:r>
          </w:p>
        </w:tc>
        <w:tc>
          <w:tcPr>
            <w:tcW w:w="120" w:type="pct"/>
            <w:tcBorders>
              <w:left w:val="nil"/>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b/>
                <w:sz w:val="18"/>
              </w:rPr>
            </w:pPr>
          </w:p>
        </w:tc>
        <w:tc>
          <w:tcPr>
            <w:tcW w:w="1004" w:type="pct"/>
            <w:tcBorders>
              <w:top w:val="single" w:sz="4" w:space="0" w:color="auto"/>
              <w:left w:val="nil"/>
              <w:bottom w:val="single" w:sz="4" w:space="0" w:color="auto"/>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rPr>
            </w:pPr>
            <w:r w:rsidRPr="006D2D0A">
              <w:rPr>
                <w:sz w:val="18"/>
              </w:rPr>
              <w:t>(4,234)</w:t>
            </w:r>
          </w:p>
        </w:tc>
      </w:tr>
      <w:tr w:rsidR="00D4725F" w:rsidRPr="006D2D0A" w:rsidTr="00562F9C">
        <w:trPr>
          <w:cantSplit/>
          <w:trHeight w:val="20"/>
        </w:trPr>
        <w:tc>
          <w:tcPr>
            <w:tcW w:w="2509"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rPr>
                <w:sz w:val="18"/>
              </w:rPr>
            </w:pPr>
            <w:r w:rsidRPr="006D2D0A">
              <w:rPr>
                <w:sz w:val="18"/>
              </w:rPr>
              <w:t>Income tax expense</w:t>
            </w:r>
          </w:p>
        </w:tc>
        <w:tc>
          <w:tcPr>
            <w:tcW w:w="376"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rPr>
                <w:sz w:val="18"/>
              </w:rPr>
            </w:pPr>
            <w:r w:rsidRPr="006D2D0A">
              <w:rPr>
                <w:sz w:val="18"/>
              </w:rPr>
              <w:t>11</w:t>
            </w:r>
          </w:p>
        </w:tc>
        <w:tc>
          <w:tcPr>
            <w:tcW w:w="991" w:type="pct"/>
            <w:tcBorders>
              <w:top w:val="nil"/>
              <w:left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jc w:val="right"/>
              <w:rPr>
                <w:b/>
                <w:sz w:val="18"/>
              </w:rPr>
            </w:pPr>
            <w:r w:rsidRPr="006D2D0A">
              <w:rPr>
                <w:b/>
                <w:sz w:val="18"/>
              </w:rPr>
              <w:t>-</w:t>
            </w:r>
          </w:p>
        </w:tc>
        <w:tc>
          <w:tcPr>
            <w:tcW w:w="120" w:type="pct"/>
            <w:tcBorders>
              <w:top w:val="nil"/>
              <w:left w:val="nil"/>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rPr>
            </w:pPr>
          </w:p>
        </w:tc>
        <w:tc>
          <w:tcPr>
            <w:tcW w:w="1004" w:type="pct"/>
            <w:tcBorders>
              <w:top w:val="nil"/>
              <w:left w:val="nil"/>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rPr>
            </w:pPr>
            <w:r w:rsidRPr="006D2D0A">
              <w:rPr>
                <w:sz w:val="18"/>
              </w:rPr>
              <w:t>-</w:t>
            </w:r>
          </w:p>
        </w:tc>
      </w:tr>
      <w:tr w:rsidR="00D4725F" w:rsidRPr="006D2D0A" w:rsidTr="00562F9C">
        <w:trPr>
          <w:cantSplit/>
          <w:trHeight w:val="20"/>
        </w:trPr>
        <w:tc>
          <w:tcPr>
            <w:tcW w:w="2509"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rPr>
                <w:b/>
                <w:sz w:val="18"/>
                <w:highlight w:val="yellow"/>
              </w:rPr>
            </w:pPr>
            <w:r w:rsidRPr="006D2D0A">
              <w:rPr>
                <w:b/>
                <w:sz w:val="18"/>
              </w:rPr>
              <w:t>Loss after tax</w:t>
            </w:r>
          </w:p>
        </w:tc>
        <w:tc>
          <w:tcPr>
            <w:tcW w:w="376"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rPr>
                <w:sz w:val="18"/>
              </w:rPr>
            </w:pPr>
          </w:p>
        </w:tc>
        <w:tc>
          <w:tcPr>
            <w:tcW w:w="991" w:type="pct"/>
            <w:tcBorders>
              <w:top w:val="single" w:sz="4" w:space="0" w:color="auto"/>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jc w:val="right"/>
              <w:rPr>
                <w:b/>
                <w:sz w:val="18"/>
              </w:rPr>
            </w:pPr>
            <w:r w:rsidRPr="006D2D0A">
              <w:rPr>
                <w:b/>
                <w:sz w:val="18"/>
              </w:rPr>
              <w:t>(3,859)</w:t>
            </w:r>
          </w:p>
        </w:tc>
        <w:tc>
          <w:tcPr>
            <w:tcW w:w="120" w:type="pct"/>
            <w:tcBorders>
              <w:left w:val="nil"/>
              <w:bottom w:val="nil"/>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b/>
                <w:sz w:val="18"/>
              </w:rPr>
            </w:pPr>
          </w:p>
        </w:tc>
        <w:tc>
          <w:tcPr>
            <w:tcW w:w="1004" w:type="pct"/>
            <w:tcBorders>
              <w:top w:val="single" w:sz="4" w:space="0" w:color="auto"/>
              <w:left w:val="nil"/>
              <w:bottom w:val="nil"/>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rPr>
            </w:pPr>
            <w:r w:rsidRPr="006D2D0A">
              <w:rPr>
                <w:sz w:val="18"/>
              </w:rPr>
              <w:t>(4,234)</w:t>
            </w:r>
          </w:p>
        </w:tc>
      </w:tr>
      <w:tr w:rsidR="00D4725F" w:rsidRPr="006D2D0A" w:rsidTr="00562F9C">
        <w:trPr>
          <w:cantSplit/>
          <w:trHeight w:val="20"/>
        </w:trPr>
        <w:tc>
          <w:tcPr>
            <w:tcW w:w="2509"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rPr>
                <w:b/>
                <w:sz w:val="18"/>
              </w:rPr>
            </w:pPr>
            <w:r w:rsidRPr="006D2D0A">
              <w:rPr>
                <w:b/>
                <w:sz w:val="18"/>
              </w:rPr>
              <w:t>Other comprehensive income for the year</w:t>
            </w:r>
          </w:p>
        </w:tc>
        <w:tc>
          <w:tcPr>
            <w:tcW w:w="376"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rPr>
                <w:sz w:val="18"/>
              </w:rPr>
            </w:pPr>
          </w:p>
        </w:tc>
        <w:tc>
          <w:tcPr>
            <w:tcW w:w="991" w:type="pct"/>
            <w:tcBorders>
              <w:top w:val="nil"/>
              <w:left w:val="nil"/>
              <w:bottom w:val="single" w:sz="4" w:space="0" w:color="auto"/>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jc w:val="right"/>
              <w:rPr>
                <w:b/>
                <w:sz w:val="18"/>
              </w:rPr>
            </w:pPr>
            <w:r w:rsidRPr="006D2D0A">
              <w:rPr>
                <w:b/>
                <w:sz w:val="18"/>
              </w:rPr>
              <w:t>-</w:t>
            </w:r>
          </w:p>
        </w:tc>
        <w:tc>
          <w:tcPr>
            <w:tcW w:w="120" w:type="pct"/>
            <w:tcBorders>
              <w:top w:val="nil"/>
              <w:left w:val="nil"/>
              <w:bottom w:val="nil"/>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rPr>
            </w:pPr>
          </w:p>
        </w:tc>
        <w:tc>
          <w:tcPr>
            <w:tcW w:w="1004" w:type="pct"/>
            <w:tcBorders>
              <w:top w:val="nil"/>
              <w:left w:val="nil"/>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rPr>
            </w:pPr>
            <w:r w:rsidRPr="006D2D0A">
              <w:rPr>
                <w:sz w:val="18"/>
              </w:rPr>
              <w:t>-</w:t>
            </w:r>
          </w:p>
        </w:tc>
      </w:tr>
      <w:tr w:rsidR="00D4725F" w:rsidRPr="006D2D0A" w:rsidTr="00562F9C">
        <w:trPr>
          <w:cantSplit/>
          <w:trHeight w:val="20"/>
        </w:trPr>
        <w:tc>
          <w:tcPr>
            <w:tcW w:w="2509"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rPr>
                <w:sz w:val="18"/>
              </w:rPr>
            </w:pPr>
            <w:r w:rsidRPr="006D2D0A">
              <w:rPr>
                <w:b/>
                <w:sz w:val="18"/>
              </w:rPr>
              <w:t>Total comprehensive loss for the year</w:t>
            </w:r>
          </w:p>
        </w:tc>
        <w:tc>
          <w:tcPr>
            <w:tcW w:w="376"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rPr>
                <w:sz w:val="18"/>
              </w:rPr>
            </w:pPr>
          </w:p>
        </w:tc>
        <w:tc>
          <w:tcPr>
            <w:tcW w:w="991" w:type="pct"/>
            <w:tcBorders>
              <w:top w:val="single" w:sz="4" w:space="0" w:color="auto"/>
              <w:left w:val="nil"/>
              <w:bottom w:val="single" w:sz="4" w:space="0" w:color="auto"/>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jc w:val="right"/>
              <w:rPr>
                <w:b/>
                <w:sz w:val="18"/>
              </w:rPr>
            </w:pPr>
            <w:r w:rsidRPr="006D2D0A">
              <w:rPr>
                <w:b/>
                <w:sz w:val="18"/>
              </w:rPr>
              <w:t>(3,859)</w:t>
            </w:r>
          </w:p>
        </w:tc>
        <w:tc>
          <w:tcPr>
            <w:tcW w:w="120" w:type="pct"/>
            <w:tcBorders>
              <w:top w:val="nil"/>
              <w:left w:val="nil"/>
              <w:bottom w:val="nil"/>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rPr>
            </w:pPr>
          </w:p>
        </w:tc>
        <w:tc>
          <w:tcPr>
            <w:tcW w:w="1004" w:type="pct"/>
            <w:tcBorders>
              <w:top w:val="single" w:sz="4" w:space="0" w:color="auto"/>
              <w:left w:val="nil"/>
              <w:bottom w:val="single" w:sz="4" w:space="0" w:color="auto"/>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rPr>
            </w:pPr>
            <w:r w:rsidRPr="006D2D0A">
              <w:rPr>
                <w:sz w:val="18"/>
              </w:rPr>
              <w:t>(4,234)</w:t>
            </w:r>
          </w:p>
        </w:tc>
      </w:tr>
      <w:tr w:rsidR="00D4725F" w:rsidRPr="006D2D0A" w:rsidTr="00562F9C">
        <w:trPr>
          <w:cantSplit/>
          <w:trHeight w:val="20"/>
        </w:trPr>
        <w:tc>
          <w:tcPr>
            <w:tcW w:w="2509"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rPr>
                <w:b/>
                <w:sz w:val="18"/>
              </w:rPr>
            </w:pPr>
            <w:r w:rsidRPr="006D2D0A">
              <w:rPr>
                <w:b/>
                <w:sz w:val="18"/>
              </w:rPr>
              <w:t>Loss and total comprehensive loss attributable to:</w:t>
            </w:r>
          </w:p>
        </w:tc>
        <w:tc>
          <w:tcPr>
            <w:tcW w:w="376"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rPr>
                <w:sz w:val="18"/>
              </w:rPr>
            </w:pPr>
          </w:p>
        </w:tc>
        <w:tc>
          <w:tcPr>
            <w:tcW w:w="991" w:type="pct"/>
            <w:tcBorders>
              <w:top w:val="single" w:sz="4" w:space="0" w:color="auto"/>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jc w:val="right"/>
              <w:rPr>
                <w:b/>
                <w:sz w:val="18"/>
              </w:rPr>
            </w:pPr>
          </w:p>
        </w:tc>
        <w:tc>
          <w:tcPr>
            <w:tcW w:w="120" w:type="pct"/>
            <w:tcBorders>
              <w:top w:val="nil"/>
              <w:left w:val="nil"/>
              <w:bottom w:val="nil"/>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rPr>
            </w:pPr>
          </w:p>
        </w:tc>
        <w:tc>
          <w:tcPr>
            <w:tcW w:w="1004" w:type="pct"/>
            <w:tcBorders>
              <w:top w:val="nil"/>
              <w:left w:val="nil"/>
              <w:bottom w:val="nil"/>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rPr>
            </w:pPr>
          </w:p>
        </w:tc>
      </w:tr>
      <w:tr w:rsidR="00D4725F" w:rsidRPr="006D2D0A" w:rsidTr="00562F9C">
        <w:trPr>
          <w:cantSplit/>
          <w:trHeight w:val="20"/>
        </w:trPr>
        <w:tc>
          <w:tcPr>
            <w:tcW w:w="2509"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rPr>
                <w:sz w:val="18"/>
              </w:rPr>
            </w:pPr>
            <w:r w:rsidRPr="006D2D0A">
              <w:rPr>
                <w:sz w:val="18"/>
              </w:rPr>
              <w:t>Owners of the parent</w:t>
            </w:r>
          </w:p>
        </w:tc>
        <w:tc>
          <w:tcPr>
            <w:tcW w:w="376"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rPr>
                <w:sz w:val="18"/>
              </w:rPr>
            </w:pPr>
          </w:p>
        </w:tc>
        <w:tc>
          <w:tcPr>
            <w:tcW w:w="991" w:type="pct"/>
            <w:tcBorders>
              <w:top w:val="nil"/>
              <w:left w:val="nil"/>
              <w:bottom w:val="nil"/>
              <w:right w:val="nil"/>
            </w:tcBorders>
            <w:shd w:val="clear" w:color="auto" w:fill="auto"/>
            <w:noWrap/>
            <w:vAlign w:val="bottom"/>
          </w:tcPr>
          <w:p w:rsidR="00D4725F" w:rsidRPr="006D2D0A" w:rsidRDefault="00D4725F" w:rsidP="00704CC0">
            <w:pPr>
              <w:pStyle w:val="Normal-Table"/>
              <w:widowControl w:val="0"/>
              <w:tabs>
                <w:tab w:val="left" w:pos="567"/>
                <w:tab w:val="left" w:pos="1134"/>
                <w:tab w:val="left" w:pos="1701"/>
                <w:tab w:val="left" w:pos="2268"/>
              </w:tabs>
              <w:jc w:val="right"/>
              <w:rPr>
                <w:b/>
                <w:sz w:val="18"/>
              </w:rPr>
            </w:pPr>
            <w:r w:rsidRPr="006D2D0A">
              <w:rPr>
                <w:b/>
                <w:sz w:val="18"/>
              </w:rPr>
              <w:t>(3,859)</w:t>
            </w:r>
          </w:p>
        </w:tc>
        <w:tc>
          <w:tcPr>
            <w:tcW w:w="120" w:type="pct"/>
            <w:tcBorders>
              <w:top w:val="nil"/>
              <w:left w:val="nil"/>
              <w:bottom w:val="nil"/>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rPr>
            </w:pPr>
          </w:p>
        </w:tc>
        <w:tc>
          <w:tcPr>
            <w:tcW w:w="1004" w:type="pct"/>
            <w:tcBorders>
              <w:top w:val="nil"/>
              <w:left w:val="nil"/>
              <w:bottom w:val="nil"/>
              <w:right w:val="nil"/>
            </w:tcBorders>
            <w:vAlign w:val="bottom"/>
          </w:tcPr>
          <w:p w:rsidR="00D4725F" w:rsidRPr="006D2D0A" w:rsidRDefault="00D4725F" w:rsidP="00704CC0">
            <w:pPr>
              <w:pStyle w:val="Normal-Table"/>
              <w:widowControl w:val="0"/>
              <w:tabs>
                <w:tab w:val="left" w:pos="567"/>
                <w:tab w:val="left" w:pos="1134"/>
                <w:tab w:val="left" w:pos="1701"/>
                <w:tab w:val="left" w:pos="2268"/>
              </w:tabs>
              <w:jc w:val="right"/>
              <w:rPr>
                <w:sz w:val="18"/>
              </w:rPr>
            </w:pPr>
            <w:r w:rsidRPr="006D2D0A">
              <w:rPr>
                <w:sz w:val="18"/>
              </w:rPr>
              <w:t>(4,234)</w:t>
            </w:r>
          </w:p>
        </w:tc>
      </w:tr>
      <w:tr w:rsidR="00D4725F" w:rsidRPr="006D2D0A" w:rsidTr="00562F9C">
        <w:trPr>
          <w:cantSplit/>
          <w:trHeight w:val="20"/>
        </w:trPr>
        <w:tc>
          <w:tcPr>
            <w:tcW w:w="2509" w:type="pct"/>
            <w:tcBorders>
              <w:top w:val="nil"/>
              <w:left w:val="nil"/>
              <w:bottom w:val="nil"/>
              <w:right w:val="nil"/>
            </w:tcBorders>
            <w:shd w:val="clear" w:color="auto" w:fill="auto"/>
            <w:noWrap/>
            <w:vAlign w:val="bottom"/>
          </w:tcPr>
          <w:p w:rsidR="00D4725F" w:rsidRPr="006D2D0A" w:rsidRDefault="00D4725F" w:rsidP="00704CC0">
            <w:pPr>
              <w:pStyle w:val="Normal-Table"/>
              <w:tabs>
                <w:tab w:val="left" w:pos="567"/>
                <w:tab w:val="left" w:pos="1134"/>
                <w:tab w:val="left" w:pos="1701"/>
                <w:tab w:val="left" w:pos="2268"/>
              </w:tabs>
              <w:rPr>
                <w:b/>
                <w:sz w:val="18"/>
              </w:rPr>
            </w:pPr>
            <w:r w:rsidRPr="006D2D0A">
              <w:rPr>
                <w:b/>
                <w:sz w:val="18"/>
              </w:rPr>
              <w:t>Loss per share - (basic &amp; diluted)</w:t>
            </w:r>
          </w:p>
        </w:tc>
        <w:tc>
          <w:tcPr>
            <w:tcW w:w="376" w:type="pct"/>
            <w:tcBorders>
              <w:top w:val="nil"/>
              <w:left w:val="nil"/>
              <w:bottom w:val="nil"/>
              <w:right w:val="nil"/>
            </w:tcBorders>
            <w:shd w:val="clear" w:color="auto" w:fill="auto"/>
            <w:noWrap/>
          </w:tcPr>
          <w:p w:rsidR="00D4725F" w:rsidRPr="006D2D0A" w:rsidRDefault="00D4725F" w:rsidP="00704CC0">
            <w:pPr>
              <w:pStyle w:val="Normal-Table"/>
              <w:tabs>
                <w:tab w:val="left" w:pos="567"/>
                <w:tab w:val="left" w:pos="1134"/>
                <w:tab w:val="left" w:pos="1701"/>
                <w:tab w:val="left" w:pos="2268"/>
              </w:tabs>
              <w:rPr>
                <w:sz w:val="18"/>
              </w:rPr>
            </w:pPr>
            <w:r w:rsidRPr="006D2D0A">
              <w:rPr>
                <w:sz w:val="18"/>
              </w:rPr>
              <w:t>19</w:t>
            </w:r>
          </w:p>
        </w:tc>
        <w:tc>
          <w:tcPr>
            <w:tcW w:w="991" w:type="pct"/>
            <w:tcBorders>
              <w:top w:val="nil"/>
              <w:left w:val="nil"/>
              <w:bottom w:val="nil"/>
              <w:right w:val="nil"/>
            </w:tcBorders>
            <w:shd w:val="clear" w:color="auto" w:fill="auto"/>
            <w:noWrap/>
            <w:vAlign w:val="bottom"/>
          </w:tcPr>
          <w:p w:rsidR="00D4725F" w:rsidRPr="006D2D0A" w:rsidRDefault="00D4725F" w:rsidP="00704CC0">
            <w:pPr>
              <w:pStyle w:val="Normal-Table"/>
              <w:tabs>
                <w:tab w:val="left" w:pos="567"/>
                <w:tab w:val="left" w:pos="1134"/>
                <w:tab w:val="left" w:pos="1701"/>
                <w:tab w:val="left" w:pos="2268"/>
              </w:tabs>
              <w:jc w:val="right"/>
              <w:rPr>
                <w:b/>
                <w:sz w:val="18"/>
              </w:rPr>
            </w:pPr>
            <w:r w:rsidRPr="006D2D0A">
              <w:rPr>
                <w:b/>
                <w:sz w:val="18"/>
              </w:rPr>
              <w:t>(10p)</w:t>
            </w:r>
          </w:p>
        </w:tc>
        <w:tc>
          <w:tcPr>
            <w:tcW w:w="120" w:type="pct"/>
            <w:tcBorders>
              <w:top w:val="nil"/>
              <w:left w:val="nil"/>
              <w:bottom w:val="nil"/>
              <w:right w:val="nil"/>
            </w:tcBorders>
            <w:vAlign w:val="bottom"/>
          </w:tcPr>
          <w:p w:rsidR="00D4725F" w:rsidRPr="006D2D0A" w:rsidRDefault="00D4725F" w:rsidP="00704CC0">
            <w:pPr>
              <w:pStyle w:val="Normal-Table"/>
              <w:tabs>
                <w:tab w:val="left" w:pos="567"/>
                <w:tab w:val="left" w:pos="1134"/>
                <w:tab w:val="left" w:pos="1701"/>
                <w:tab w:val="left" w:pos="2268"/>
              </w:tabs>
              <w:jc w:val="right"/>
              <w:rPr>
                <w:sz w:val="18"/>
              </w:rPr>
            </w:pPr>
          </w:p>
        </w:tc>
        <w:tc>
          <w:tcPr>
            <w:tcW w:w="1004" w:type="pct"/>
            <w:tcBorders>
              <w:top w:val="nil"/>
              <w:left w:val="nil"/>
              <w:bottom w:val="nil"/>
              <w:right w:val="nil"/>
            </w:tcBorders>
            <w:vAlign w:val="bottom"/>
          </w:tcPr>
          <w:p w:rsidR="00D4725F" w:rsidRPr="006D2D0A" w:rsidRDefault="00D4725F" w:rsidP="00704CC0">
            <w:pPr>
              <w:pStyle w:val="Normal-Table"/>
              <w:tabs>
                <w:tab w:val="left" w:pos="567"/>
                <w:tab w:val="left" w:pos="1134"/>
                <w:tab w:val="left" w:pos="1701"/>
                <w:tab w:val="left" w:pos="2268"/>
              </w:tabs>
              <w:jc w:val="right"/>
              <w:rPr>
                <w:sz w:val="18"/>
              </w:rPr>
            </w:pPr>
            <w:r w:rsidRPr="006D2D0A">
              <w:rPr>
                <w:sz w:val="18"/>
              </w:rPr>
              <w:t>(9p)</w:t>
            </w:r>
          </w:p>
        </w:tc>
      </w:tr>
    </w:tbl>
    <w:p w:rsidR="00063391" w:rsidRPr="00EB02DA" w:rsidRDefault="00063391" w:rsidP="00704CC0">
      <w:pPr>
        <w:pStyle w:val="Normal2-Para"/>
        <w:tabs>
          <w:tab w:val="left" w:pos="567"/>
          <w:tab w:val="left" w:pos="1134"/>
          <w:tab w:val="left" w:pos="1701"/>
          <w:tab w:val="left" w:pos="2268"/>
        </w:tabs>
        <w:spacing w:line="240" w:lineRule="auto"/>
        <w:rPr>
          <w:i/>
        </w:rPr>
      </w:pPr>
      <w:r w:rsidRPr="00EB02DA">
        <w:rPr>
          <w:i/>
        </w:rPr>
        <w:t>(The accompanying notes are an integral part of the financial statements</w:t>
      </w:r>
      <w:r w:rsidR="00B21F8B" w:rsidRPr="00EB02DA">
        <w:rPr>
          <w:i/>
        </w:rPr>
        <w:t>.</w:t>
      </w:r>
      <w:r w:rsidRPr="00EB02DA">
        <w:rPr>
          <w:i/>
        </w:rPr>
        <w:t>)</w:t>
      </w:r>
    </w:p>
    <w:p w:rsidR="00063391" w:rsidRPr="00704CC0" w:rsidRDefault="00063391" w:rsidP="00704CC0">
      <w:pPr>
        <w:pStyle w:val="Heading2-Para"/>
        <w:spacing w:before="720" w:after="120"/>
        <w:rPr>
          <w:sz w:val="24"/>
          <w:szCs w:val="24"/>
        </w:rPr>
      </w:pPr>
      <w:bookmarkStart w:id="8" w:name="_Toc286417102"/>
      <w:bookmarkStart w:id="9" w:name="_Toc317955098"/>
      <w:r w:rsidRPr="00704CC0">
        <w:rPr>
          <w:sz w:val="24"/>
          <w:szCs w:val="24"/>
        </w:rPr>
        <w:lastRenderedPageBreak/>
        <w:t>Consolidated Statement of Financial Position</w:t>
      </w:r>
      <w:bookmarkEnd w:id="8"/>
      <w:bookmarkEnd w:id="9"/>
    </w:p>
    <w:tbl>
      <w:tblPr>
        <w:tblW w:w="8953" w:type="dxa"/>
        <w:tblCellMar>
          <w:top w:w="28" w:type="dxa"/>
          <w:left w:w="57" w:type="dxa"/>
          <w:bottom w:w="28" w:type="dxa"/>
          <w:right w:w="57" w:type="dxa"/>
        </w:tblCellMar>
        <w:tblLook w:val="04A0"/>
      </w:tblPr>
      <w:tblGrid>
        <w:gridCol w:w="4478"/>
        <w:gridCol w:w="671"/>
        <w:gridCol w:w="1791"/>
        <w:gridCol w:w="224"/>
        <w:gridCol w:w="1789"/>
      </w:tblGrid>
      <w:tr w:rsidR="00B23CBA" w:rsidRPr="006D2D0A" w:rsidTr="00562F9C">
        <w:trPr>
          <w:trHeight w:val="20"/>
        </w:trPr>
        <w:tc>
          <w:tcPr>
            <w:tcW w:w="2501"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sz w:val="18"/>
              </w:rPr>
            </w:pPr>
          </w:p>
        </w:tc>
        <w:tc>
          <w:tcPr>
            <w:tcW w:w="37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sz w:val="18"/>
              </w:rPr>
            </w:pPr>
            <w:r w:rsidRPr="006D2D0A">
              <w:rPr>
                <w:b/>
                <w:sz w:val="18"/>
              </w:rPr>
              <w:t>Notes</w:t>
            </w:r>
          </w:p>
        </w:tc>
        <w:tc>
          <w:tcPr>
            <w:tcW w:w="1000" w:type="pct"/>
            <w:tcBorders>
              <w:top w:val="nil"/>
              <w:left w:val="nil"/>
              <w:bottom w:val="nil"/>
              <w:right w:val="nil"/>
            </w:tcBorders>
            <w:shd w:val="clear" w:color="auto" w:fill="auto"/>
            <w:noWrap/>
            <w:vAlign w:val="bottom"/>
          </w:tcPr>
          <w:p w:rsidR="00490538" w:rsidRPr="006D2D0A" w:rsidRDefault="00A75BBF" w:rsidP="00704CC0">
            <w:pPr>
              <w:pStyle w:val="Normal-Table"/>
              <w:tabs>
                <w:tab w:val="left" w:pos="567"/>
                <w:tab w:val="left" w:pos="1134"/>
                <w:tab w:val="left" w:pos="1701"/>
                <w:tab w:val="left" w:pos="2268"/>
              </w:tabs>
              <w:jc w:val="right"/>
              <w:rPr>
                <w:b/>
                <w:sz w:val="18"/>
              </w:rPr>
            </w:pPr>
            <w:r w:rsidRPr="006D2D0A">
              <w:rPr>
                <w:b/>
                <w:sz w:val="18"/>
              </w:rPr>
              <w:t xml:space="preserve">As at </w:t>
            </w:r>
            <w:r w:rsidRPr="006D2D0A">
              <w:rPr>
                <w:b/>
                <w:sz w:val="18"/>
              </w:rPr>
              <w:br/>
            </w:r>
            <w:r w:rsidR="00490538" w:rsidRPr="006D2D0A">
              <w:rPr>
                <w:b/>
                <w:sz w:val="18"/>
              </w:rPr>
              <w:t>31 August 2013</w:t>
            </w:r>
            <w:r w:rsidRPr="006D2D0A">
              <w:rPr>
                <w:b/>
                <w:sz w:val="18"/>
              </w:rPr>
              <w:br/>
              <w:t>£'000</w:t>
            </w:r>
          </w:p>
        </w:tc>
        <w:tc>
          <w:tcPr>
            <w:tcW w:w="12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p>
        </w:tc>
        <w:tc>
          <w:tcPr>
            <w:tcW w:w="999" w:type="pct"/>
            <w:tcBorders>
              <w:top w:val="nil"/>
              <w:left w:val="nil"/>
              <w:bottom w:val="nil"/>
              <w:right w:val="nil"/>
            </w:tcBorders>
            <w:shd w:val="clear" w:color="auto" w:fill="auto"/>
            <w:noWrap/>
            <w:vAlign w:val="bottom"/>
          </w:tcPr>
          <w:p w:rsidR="00490538" w:rsidRPr="006D2D0A" w:rsidRDefault="00A75BBF" w:rsidP="00704CC0">
            <w:pPr>
              <w:pStyle w:val="Normal-Table"/>
              <w:tabs>
                <w:tab w:val="left" w:pos="567"/>
                <w:tab w:val="left" w:pos="1134"/>
                <w:tab w:val="left" w:pos="1701"/>
                <w:tab w:val="left" w:pos="2268"/>
              </w:tabs>
              <w:jc w:val="right"/>
              <w:rPr>
                <w:sz w:val="18"/>
              </w:rPr>
            </w:pPr>
            <w:r w:rsidRPr="006D2D0A">
              <w:rPr>
                <w:sz w:val="18"/>
              </w:rPr>
              <w:t>As at</w:t>
            </w:r>
            <w:r w:rsidRPr="006D2D0A">
              <w:rPr>
                <w:sz w:val="18"/>
              </w:rPr>
              <w:br/>
            </w:r>
            <w:r w:rsidR="00490538" w:rsidRPr="006D2D0A">
              <w:rPr>
                <w:sz w:val="18"/>
              </w:rPr>
              <w:t>31 August 2012</w:t>
            </w:r>
          </w:p>
          <w:p w:rsidR="00A75BBF" w:rsidRPr="006D2D0A" w:rsidRDefault="00A75BBF" w:rsidP="00704CC0">
            <w:pPr>
              <w:pStyle w:val="Normal-Table"/>
              <w:tabs>
                <w:tab w:val="left" w:pos="567"/>
                <w:tab w:val="left" w:pos="1134"/>
                <w:tab w:val="left" w:pos="1701"/>
                <w:tab w:val="left" w:pos="2268"/>
              </w:tabs>
              <w:jc w:val="right"/>
              <w:rPr>
                <w:sz w:val="18"/>
              </w:rPr>
            </w:pPr>
            <w:r w:rsidRPr="006D2D0A">
              <w:rPr>
                <w:sz w:val="18"/>
              </w:rPr>
              <w:t>£'000</w:t>
            </w:r>
          </w:p>
        </w:tc>
      </w:tr>
      <w:tr w:rsidR="00B23CBA" w:rsidRPr="006D2D0A" w:rsidTr="00562F9C">
        <w:trPr>
          <w:trHeight w:val="20"/>
          <w:tblHeader/>
        </w:trPr>
        <w:tc>
          <w:tcPr>
            <w:tcW w:w="2501"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b/>
                <w:sz w:val="18"/>
              </w:rPr>
            </w:pPr>
            <w:r w:rsidRPr="006D2D0A">
              <w:rPr>
                <w:b/>
                <w:sz w:val="18"/>
              </w:rPr>
              <w:t>ASSETS</w:t>
            </w:r>
          </w:p>
        </w:tc>
        <w:tc>
          <w:tcPr>
            <w:tcW w:w="37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b/>
                <w:sz w:val="18"/>
              </w:rPr>
            </w:pPr>
          </w:p>
        </w:tc>
        <w:tc>
          <w:tcPr>
            <w:tcW w:w="1000" w:type="pct"/>
            <w:tcBorders>
              <w:top w:val="nil"/>
              <w:left w:val="nil"/>
              <w:bottom w:val="nil"/>
              <w:right w:val="nil"/>
            </w:tcBorders>
            <w:shd w:val="clear" w:color="auto" w:fill="auto"/>
            <w:noWrap/>
            <w:vAlign w:val="bottom"/>
          </w:tcPr>
          <w:p w:rsidR="00490538" w:rsidRPr="006D2D0A" w:rsidRDefault="00490538" w:rsidP="0040638F">
            <w:pPr>
              <w:pStyle w:val="Normal-Table"/>
              <w:tabs>
                <w:tab w:val="left" w:pos="567"/>
                <w:tab w:val="left" w:pos="1134"/>
                <w:tab w:val="left" w:pos="1701"/>
                <w:tab w:val="left" w:pos="2268"/>
              </w:tabs>
              <w:jc w:val="right"/>
              <w:rPr>
                <w:b/>
                <w:sz w:val="18"/>
              </w:rPr>
            </w:pPr>
          </w:p>
        </w:tc>
        <w:tc>
          <w:tcPr>
            <w:tcW w:w="12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p>
        </w:tc>
        <w:tc>
          <w:tcPr>
            <w:tcW w:w="999" w:type="pct"/>
            <w:tcBorders>
              <w:top w:val="nil"/>
              <w:left w:val="nil"/>
              <w:bottom w:val="nil"/>
              <w:right w:val="nil"/>
            </w:tcBorders>
            <w:shd w:val="clear" w:color="auto" w:fill="auto"/>
            <w:noWrap/>
            <w:vAlign w:val="bottom"/>
          </w:tcPr>
          <w:p w:rsidR="00490538" w:rsidRPr="006D2D0A" w:rsidRDefault="00490538" w:rsidP="0040638F">
            <w:pPr>
              <w:pStyle w:val="Normal-Table"/>
              <w:tabs>
                <w:tab w:val="left" w:pos="567"/>
                <w:tab w:val="left" w:pos="1134"/>
                <w:tab w:val="left" w:pos="1701"/>
                <w:tab w:val="left" w:pos="2268"/>
              </w:tabs>
              <w:jc w:val="right"/>
              <w:rPr>
                <w:sz w:val="18"/>
              </w:rPr>
            </w:pPr>
          </w:p>
        </w:tc>
      </w:tr>
      <w:tr w:rsidR="00B23CBA" w:rsidRPr="006D2D0A" w:rsidTr="00562F9C">
        <w:trPr>
          <w:trHeight w:val="20"/>
        </w:trPr>
        <w:tc>
          <w:tcPr>
            <w:tcW w:w="2501"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b/>
                <w:sz w:val="18"/>
              </w:rPr>
            </w:pPr>
            <w:r w:rsidRPr="006D2D0A">
              <w:rPr>
                <w:b/>
                <w:sz w:val="18"/>
              </w:rPr>
              <w:t xml:space="preserve">Non-current </w:t>
            </w:r>
          </w:p>
        </w:tc>
        <w:tc>
          <w:tcPr>
            <w:tcW w:w="37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b/>
                <w:sz w:val="18"/>
              </w:rPr>
            </w:pPr>
          </w:p>
        </w:tc>
        <w:tc>
          <w:tcPr>
            <w:tcW w:w="1000"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p>
        </w:tc>
        <w:tc>
          <w:tcPr>
            <w:tcW w:w="12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p>
        </w:tc>
        <w:tc>
          <w:tcPr>
            <w:tcW w:w="999"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p>
        </w:tc>
      </w:tr>
      <w:tr w:rsidR="00B23CBA" w:rsidRPr="006D2D0A" w:rsidTr="00562F9C">
        <w:trPr>
          <w:trHeight w:val="20"/>
        </w:trPr>
        <w:tc>
          <w:tcPr>
            <w:tcW w:w="2501" w:type="pct"/>
            <w:tcBorders>
              <w:top w:val="nil"/>
              <w:left w:val="nil"/>
              <w:bottom w:val="nil"/>
              <w:right w:val="nil"/>
            </w:tcBorders>
            <w:shd w:val="clear" w:color="auto" w:fill="auto"/>
            <w:vAlign w:val="bottom"/>
          </w:tcPr>
          <w:p w:rsidR="00490538" w:rsidRPr="006D2D0A" w:rsidRDefault="00490538" w:rsidP="00704CC0">
            <w:pPr>
              <w:pStyle w:val="Normal-Table"/>
              <w:tabs>
                <w:tab w:val="left" w:pos="567"/>
                <w:tab w:val="left" w:pos="1134"/>
                <w:tab w:val="left" w:pos="1701"/>
                <w:tab w:val="left" w:pos="2268"/>
              </w:tabs>
              <w:rPr>
                <w:sz w:val="18"/>
              </w:rPr>
            </w:pPr>
            <w:r w:rsidRPr="006D2D0A">
              <w:rPr>
                <w:sz w:val="18"/>
              </w:rPr>
              <w:t>Investments at fair value through profit or loss</w:t>
            </w:r>
          </w:p>
        </w:tc>
        <w:tc>
          <w:tcPr>
            <w:tcW w:w="375" w:type="pct"/>
            <w:tcBorders>
              <w:top w:val="nil"/>
              <w:left w:val="nil"/>
              <w:bottom w:val="nil"/>
              <w:right w:val="nil"/>
            </w:tcBorders>
            <w:shd w:val="clear" w:color="auto" w:fill="auto"/>
          </w:tcPr>
          <w:p w:rsidR="00490538" w:rsidRPr="006D2D0A" w:rsidRDefault="00490538" w:rsidP="00704CC0">
            <w:pPr>
              <w:pStyle w:val="Normal-Table"/>
              <w:tabs>
                <w:tab w:val="left" w:pos="567"/>
                <w:tab w:val="left" w:pos="1134"/>
                <w:tab w:val="left" w:pos="1701"/>
                <w:tab w:val="left" w:pos="2268"/>
              </w:tabs>
              <w:rPr>
                <w:sz w:val="18"/>
              </w:rPr>
            </w:pPr>
            <w:r w:rsidRPr="006D2D0A">
              <w:rPr>
                <w:sz w:val="18"/>
              </w:rPr>
              <w:t>14</w:t>
            </w:r>
          </w:p>
        </w:tc>
        <w:tc>
          <w:tcPr>
            <w:tcW w:w="1000" w:type="pct"/>
            <w:tcBorders>
              <w:top w:val="nil"/>
              <w:left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r w:rsidRPr="006D2D0A">
              <w:rPr>
                <w:b/>
                <w:sz w:val="18"/>
              </w:rPr>
              <w:t>4,87</w:t>
            </w:r>
            <w:r w:rsidR="00CD5ADD" w:rsidRPr="006D2D0A">
              <w:rPr>
                <w:b/>
                <w:sz w:val="18"/>
              </w:rPr>
              <w:t>5</w:t>
            </w:r>
          </w:p>
        </w:tc>
        <w:tc>
          <w:tcPr>
            <w:tcW w:w="12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color w:val="FF0000"/>
                <w:sz w:val="18"/>
              </w:rPr>
            </w:pPr>
          </w:p>
        </w:tc>
        <w:tc>
          <w:tcPr>
            <w:tcW w:w="999" w:type="pct"/>
            <w:tcBorders>
              <w:top w:val="nil"/>
              <w:left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r w:rsidRPr="006D2D0A">
              <w:rPr>
                <w:sz w:val="18"/>
              </w:rPr>
              <w:t>7,391</w:t>
            </w:r>
          </w:p>
        </w:tc>
      </w:tr>
      <w:tr w:rsidR="00B23CBA" w:rsidRPr="006D2D0A" w:rsidTr="00562F9C">
        <w:trPr>
          <w:trHeight w:val="20"/>
        </w:trPr>
        <w:tc>
          <w:tcPr>
            <w:tcW w:w="2501"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b/>
                <w:sz w:val="18"/>
              </w:rPr>
            </w:pPr>
          </w:p>
        </w:tc>
        <w:tc>
          <w:tcPr>
            <w:tcW w:w="37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b/>
                <w:sz w:val="18"/>
              </w:rPr>
            </w:pPr>
          </w:p>
        </w:tc>
        <w:tc>
          <w:tcPr>
            <w:tcW w:w="1000" w:type="pct"/>
            <w:tcBorders>
              <w:top w:val="single" w:sz="4" w:space="0" w:color="auto"/>
              <w:left w:val="nil"/>
              <w:bottom w:val="single" w:sz="4" w:space="0" w:color="auto"/>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r w:rsidRPr="006D2D0A">
              <w:rPr>
                <w:b/>
                <w:sz w:val="18"/>
              </w:rPr>
              <w:t>4,87</w:t>
            </w:r>
            <w:r w:rsidR="00CD5ADD" w:rsidRPr="006D2D0A">
              <w:rPr>
                <w:b/>
                <w:sz w:val="18"/>
              </w:rPr>
              <w:t>5</w:t>
            </w:r>
          </w:p>
        </w:tc>
        <w:tc>
          <w:tcPr>
            <w:tcW w:w="125" w:type="pct"/>
            <w:tcBorders>
              <w:left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p>
        </w:tc>
        <w:tc>
          <w:tcPr>
            <w:tcW w:w="999" w:type="pct"/>
            <w:tcBorders>
              <w:top w:val="single" w:sz="4" w:space="0" w:color="auto"/>
              <w:left w:val="nil"/>
              <w:bottom w:val="single" w:sz="4" w:space="0" w:color="auto"/>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r w:rsidRPr="006D2D0A">
              <w:rPr>
                <w:sz w:val="18"/>
              </w:rPr>
              <w:t>7,391</w:t>
            </w:r>
          </w:p>
        </w:tc>
      </w:tr>
      <w:tr w:rsidR="00B23CBA" w:rsidRPr="006D2D0A" w:rsidTr="00562F9C">
        <w:trPr>
          <w:trHeight w:val="20"/>
        </w:trPr>
        <w:tc>
          <w:tcPr>
            <w:tcW w:w="2501"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b/>
                <w:sz w:val="18"/>
              </w:rPr>
            </w:pPr>
            <w:r w:rsidRPr="006D2D0A">
              <w:rPr>
                <w:b/>
                <w:sz w:val="18"/>
              </w:rPr>
              <w:t xml:space="preserve">Current </w:t>
            </w:r>
          </w:p>
        </w:tc>
        <w:tc>
          <w:tcPr>
            <w:tcW w:w="37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b/>
                <w:sz w:val="18"/>
              </w:rPr>
            </w:pPr>
          </w:p>
        </w:tc>
        <w:tc>
          <w:tcPr>
            <w:tcW w:w="1000" w:type="pct"/>
            <w:tcBorders>
              <w:top w:val="single" w:sz="4" w:space="0" w:color="auto"/>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p>
        </w:tc>
        <w:tc>
          <w:tcPr>
            <w:tcW w:w="125" w:type="pct"/>
            <w:tcBorders>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p>
        </w:tc>
        <w:tc>
          <w:tcPr>
            <w:tcW w:w="999" w:type="pct"/>
            <w:tcBorders>
              <w:top w:val="single" w:sz="4" w:space="0" w:color="auto"/>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p>
        </w:tc>
      </w:tr>
      <w:tr w:rsidR="00B23CBA" w:rsidRPr="006D2D0A" w:rsidTr="00562F9C">
        <w:trPr>
          <w:trHeight w:val="20"/>
        </w:trPr>
        <w:tc>
          <w:tcPr>
            <w:tcW w:w="2501"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b/>
                <w:sz w:val="18"/>
              </w:rPr>
            </w:pPr>
            <w:r w:rsidRPr="006D2D0A">
              <w:rPr>
                <w:sz w:val="18"/>
              </w:rPr>
              <w:t>Investments at fair value through profit or loss</w:t>
            </w:r>
          </w:p>
        </w:tc>
        <w:tc>
          <w:tcPr>
            <w:tcW w:w="37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sz w:val="18"/>
              </w:rPr>
            </w:pPr>
            <w:r w:rsidRPr="006D2D0A">
              <w:rPr>
                <w:sz w:val="18"/>
              </w:rPr>
              <w:t>14</w:t>
            </w:r>
          </w:p>
        </w:tc>
        <w:tc>
          <w:tcPr>
            <w:tcW w:w="1000"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r w:rsidRPr="006D2D0A">
              <w:rPr>
                <w:b/>
                <w:sz w:val="18"/>
              </w:rPr>
              <w:t>1,875</w:t>
            </w:r>
          </w:p>
        </w:tc>
        <w:tc>
          <w:tcPr>
            <w:tcW w:w="12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p>
        </w:tc>
        <w:tc>
          <w:tcPr>
            <w:tcW w:w="999"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r w:rsidRPr="006D2D0A">
              <w:rPr>
                <w:sz w:val="18"/>
              </w:rPr>
              <w:t>10,084</w:t>
            </w:r>
          </w:p>
        </w:tc>
      </w:tr>
      <w:tr w:rsidR="00B23CBA" w:rsidRPr="006D2D0A" w:rsidTr="00562F9C">
        <w:trPr>
          <w:trHeight w:val="20"/>
        </w:trPr>
        <w:tc>
          <w:tcPr>
            <w:tcW w:w="2501"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sz w:val="18"/>
              </w:rPr>
            </w:pPr>
            <w:r w:rsidRPr="006D2D0A">
              <w:rPr>
                <w:sz w:val="18"/>
              </w:rPr>
              <w:t>Receivables</w:t>
            </w:r>
          </w:p>
        </w:tc>
        <w:tc>
          <w:tcPr>
            <w:tcW w:w="37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sz w:val="18"/>
              </w:rPr>
            </w:pPr>
            <w:r w:rsidRPr="006D2D0A">
              <w:rPr>
                <w:sz w:val="18"/>
              </w:rPr>
              <w:t>15</w:t>
            </w:r>
          </w:p>
        </w:tc>
        <w:tc>
          <w:tcPr>
            <w:tcW w:w="1000"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r w:rsidRPr="006D2D0A">
              <w:rPr>
                <w:b/>
                <w:sz w:val="18"/>
              </w:rPr>
              <w:t>-</w:t>
            </w:r>
          </w:p>
        </w:tc>
        <w:tc>
          <w:tcPr>
            <w:tcW w:w="12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color w:val="FF0000"/>
                <w:sz w:val="18"/>
              </w:rPr>
            </w:pPr>
          </w:p>
        </w:tc>
        <w:tc>
          <w:tcPr>
            <w:tcW w:w="999"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r w:rsidRPr="006D2D0A">
              <w:rPr>
                <w:sz w:val="18"/>
              </w:rPr>
              <w:t>76</w:t>
            </w:r>
          </w:p>
        </w:tc>
      </w:tr>
      <w:tr w:rsidR="00B23CBA" w:rsidRPr="006D2D0A" w:rsidTr="00562F9C">
        <w:trPr>
          <w:trHeight w:val="20"/>
        </w:trPr>
        <w:tc>
          <w:tcPr>
            <w:tcW w:w="2501"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sz w:val="18"/>
              </w:rPr>
            </w:pPr>
            <w:r w:rsidRPr="006D2D0A">
              <w:rPr>
                <w:sz w:val="18"/>
              </w:rPr>
              <w:t>Prepayments</w:t>
            </w:r>
          </w:p>
        </w:tc>
        <w:tc>
          <w:tcPr>
            <w:tcW w:w="37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sz w:val="18"/>
              </w:rPr>
            </w:pPr>
          </w:p>
        </w:tc>
        <w:tc>
          <w:tcPr>
            <w:tcW w:w="1000" w:type="pct"/>
            <w:tcBorders>
              <w:top w:val="nil"/>
              <w:left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r w:rsidRPr="006D2D0A">
              <w:rPr>
                <w:b/>
                <w:sz w:val="18"/>
              </w:rPr>
              <w:t xml:space="preserve">            27</w:t>
            </w:r>
          </w:p>
        </w:tc>
        <w:tc>
          <w:tcPr>
            <w:tcW w:w="12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color w:val="FF0000"/>
                <w:sz w:val="18"/>
              </w:rPr>
            </w:pPr>
          </w:p>
        </w:tc>
        <w:tc>
          <w:tcPr>
            <w:tcW w:w="999" w:type="pct"/>
            <w:tcBorders>
              <w:top w:val="nil"/>
              <w:left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r w:rsidRPr="006D2D0A">
              <w:rPr>
                <w:sz w:val="18"/>
              </w:rPr>
              <w:t>22</w:t>
            </w:r>
          </w:p>
        </w:tc>
      </w:tr>
      <w:tr w:rsidR="00B23CBA" w:rsidRPr="006D2D0A" w:rsidTr="00562F9C">
        <w:trPr>
          <w:trHeight w:val="20"/>
        </w:trPr>
        <w:tc>
          <w:tcPr>
            <w:tcW w:w="2501"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sz w:val="18"/>
              </w:rPr>
            </w:pPr>
            <w:r w:rsidRPr="006D2D0A">
              <w:rPr>
                <w:sz w:val="18"/>
              </w:rPr>
              <w:t>Cash and cash equivalents</w:t>
            </w:r>
          </w:p>
        </w:tc>
        <w:tc>
          <w:tcPr>
            <w:tcW w:w="37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sz w:val="18"/>
              </w:rPr>
            </w:pPr>
            <w:r w:rsidRPr="006D2D0A">
              <w:rPr>
                <w:sz w:val="18"/>
              </w:rPr>
              <w:t>16</w:t>
            </w:r>
          </w:p>
        </w:tc>
        <w:tc>
          <w:tcPr>
            <w:tcW w:w="1000" w:type="pct"/>
            <w:tcBorders>
              <w:top w:val="nil"/>
              <w:left w:val="nil"/>
              <w:bottom w:val="single" w:sz="4" w:space="0" w:color="auto"/>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r w:rsidRPr="006D2D0A">
              <w:rPr>
                <w:b/>
                <w:sz w:val="18"/>
              </w:rPr>
              <w:t>1,472</w:t>
            </w:r>
          </w:p>
        </w:tc>
        <w:tc>
          <w:tcPr>
            <w:tcW w:w="125" w:type="pct"/>
            <w:tcBorders>
              <w:top w:val="nil"/>
              <w:left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color w:val="FF0000"/>
                <w:sz w:val="18"/>
              </w:rPr>
            </w:pPr>
          </w:p>
        </w:tc>
        <w:tc>
          <w:tcPr>
            <w:tcW w:w="999" w:type="pct"/>
            <w:tcBorders>
              <w:top w:val="nil"/>
              <w:left w:val="nil"/>
              <w:bottom w:val="single" w:sz="4" w:space="0" w:color="auto"/>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r w:rsidRPr="006D2D0A">
              <w:rPr>
                <w:sz w:val="18"/>
              </w:rPr>
              <w:t>3,776</w:t>
            </w:r>
          </w:p>
        </w:tc>
      </w:tr>
      <w:tr w:rsidR="00B23CBA" w:rsidRPr="006D2D0A" w:rsidTr="00562F9C">
        <w:trPr>
          <w:trHeight w:val="20"/>
        </w:trPr>
        <w:tc>
          <w:tcPr>
            <w:tcW w:w="2501"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b/>
                <w:sz w:val="18"/>
              </w:rPr>
            </w:pPr>
          </w:p>
        </w:tc>
        <w:tc>
          <w:tcPr>
            <w:tcW w:w="37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b/>
                <w:sz w:val="18"/>
              </w:rPr>
            </w:pPr>
          </w:p>
        </w:tc>
        <w:tc>
          <w:tcPr>
            <w:tcW w:w="1000" w:type="pct"/>
            <w:tcBorders>
              <w:top w:val="single" w:sz="4" w:space="0" w:color="auto"/>
              <w:left w:val="nil"/>
              <w:bottom w:val="single" w:sz="4" w:space="0" w:color="auto"/>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r w:rsidRPr="006D2D0A">
              <w:rPr>
                <w:b/>
                <w:sz w:val="18"/>
              </w:rPr>
              <w:t>3,374</w:t>
            </w:r>
          </w:p>
        </w:tc>
        <w:tc>
          <w:tcPr>
            <w:tcW w:w="125" w:type="pct"/>
            <w:tcBorders>
              <w:top w:val="nil"/>
              <w:left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color w:val="FF0000"/>
                <w:sz w:val="18"/>
              </w:rPr>
            </w:pPr>
          </w:p>
        </w:tc>
        <w:tc>
          <w:tcPr>
            <w:tcW w:w="999" w:type="pct"/>
            <w:tcBorders>
              <w:top w:val="single" w:sz="4" w:space="0" w:color="auto"/>
              <w:left w:val="nil"/>
              <w:bottom w:val="single" w:sz="4" w:space="0" w:color="auto"/>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r w:rsidRPr="006D2D0A">
              <w:rPr>
                <w:sz w:val="18"/>
              </w:rPr>
              <w:t>13,958</w:t>
            </w:r>
          </w:p>
        </w:tc>
      </w:tr>
      <w:tr w:rsidR="00B23CBA" w:rsidRPr="006D2D0A" w:rsidTr="00562F9C">
        <w:trPr>
          <w:trHeight w:val="20"/>
        </w:trPr>
        <w:tc>
          <w:tcPr>
            <w:tcW w:w="2501"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b/>
                <w:sz w:val="18"/>
              </w:rPr>
            </w:pPr>
            <w:r w:rsidRPr="006D2D0A">
              <w:rPr>
                <w:b/>
                <w:sz w:val="18"/>
              </w:rPr>
              <w:t>Total assets</w:t>
            </w:r>
          </w:p>
        </w:tc>
        <w:tc>
          <w:tcPr>
            <w:tcW w:w="37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b/>
                <w:sz w:val="18"/>
              </w:rPr>
            </w:pPr>
          </w:p>
        </w:tc>
        <w:tc>
          <w:tcPr>
            <w:tcW w:w="1000" w:type="pct"/>
            <w:tcBorders>
              <w:top w:val="single" w:sz="4" w:space="0" w:color="auto"/>
              <w:left w:val="nil"/>
              <w:bottom w:val="single" w:sz="4" w:space="0" w:color="auto"/>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r w:rsidRPr="006D2D0A">
              <w:rPr>
                <w:b/>
                <w:sz w:val="18"/>
              </w:rPr>
              <w:t>8,2</w:t>
            </w:r>
            <w:r w:rsidR="00CD5ADD" w:rsidRPr="006D2D0A">
              <w:rPr>
                <w:b/>
                <w:sz w:val="18"/>
              </w:rPr>
              <w:t>49</w:t>
            </w:r>
          </w:p>
        </w:tc>
        <w:tc>
          <w:tcPr>
            <w:tcW w:w="125" w:type="pct"/>
            <w:tcBorders>
              <w:left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color w:val="FF0000"/>
                <w:sz w:val="18"/>
              </w:rPr>
            </w:pPr>
          </w:p>
        </w:tc>
        <w:tc>
          <w:tcPr>
            <w:tcW w:w="999" w:type="pct"/>
            <w:tcBorders>
              <w:top w:val="single" w:sz="4" w:space="0" w:color="auto"/>
              <w:left w:val="nil"/>
              <w:bottom w:val="single" w:sz="4" w:space="0" w:color="auto"/>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r w:rsidRPr="006D2D0A">
              <w:rPr>
                <w:sz w:val="18"/>
              </w:rPr>
              <w:t>21,349</w:t>
            </w:r>
          </w:p>
        </w:tc>
      </w:tr>
      <w:tr w:rsidR="00B23CBA" w:rsidRPr="006D2D0A" w:rsidTr="00562F9C">
        <w:trPr>
          <w:trHeight w:val="20"/>
        </w:trPr>
        <w:tc>
          <w:tcPr>
            <w:tcW w:w="2501"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b/>
                <w:sz w:val="18"/>
              </w:rPr>
            </w:pPr>
            <w:r w:rsidRPr="006D2D0A">
              <w:rPr>
                <w:b/>
                <w:sz w:val="18"/>
              </w:rPr>
              <w:t>Current liabilities</w:t>
            </w:r>
          </w:p>
        </w:tc>
        <w:tc>
          <w:tcPr>
            <w:tcW w:w="37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b/>
                <w:sz w:val="18"/>
              </w:rPr>
            </w:pPr>
          </w:p>
        </w:tc>
        <w:tc>
          <w:tcPr>
            <w:tcW w:w="1000"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p>
        </w:tc>
        <w:tc>
          <w:tcPr>
            <w:tcW w:w="12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p>
        </w:tc>
        <w:tc>
          <w:tcPr>
            <w:tcW w:w="999"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p>
        </w:tc>
      </w:tr>
      <w:tr w:rsidR="00B23CBA" w:rsidRPr="006D2D0A" w:rsidTr="00562F9C">
        <w:trPr>
          <w:trHeight w:val="20"/>
        </w:trPr>
        <w:tc>
          <w:tcPr>
            <w:tcW w:w="2501"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sz w:val="18"/>
              </w:rPr>
            </w:pPr>
            <w:r w:rsidRPr="006D2D0A">
              <w:rPr>
                <w:sz w:val="18"/>
              </w:rPr>
              <w:t>Payables</w:t>
            </w:r>
          </w:p>
        </w:tc>
        <w:tc>
          <w:tcPr>
            <w:tcW w:w="37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sz w:val="18"/>
              </w:rPr>
            </w:pPr>
            <w:r w:rsidRPr="006D2D0A">
              <w:rPr>
                <w:sz w:val="18"/>
              </w:rPr>
              <w:t>17</w:t>
            </w:r>
          </w:p>
        </w:tc>
        <w:tc>
          <w:tcPr>
            <w:tcW w:w="1000"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r w:rsidRPr="006D2D0A">
              <w:rPr>
                <w:b/>
                <w:sz w:val="18"/>
              </w:rPr>
              <w:t>123</w:t>
            </w:r>
          </w:p>
        </w:tc>
        <w:tc>
          <w:tcPr>
            <w:tcW w:w="12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color w:val="FF0000"/>
                <w:sz w:val="18"/>
              </w:rPr>
            </w:pPr>
          </w:p>
        </w:tc>
        <w:tc>
          <w:tcPr>
            <w:tcW w:w="999"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r w:rsidRPr="006D2D0A">
              <w:rPr>
                <w:sz w:val="18"/>
              </w:rPr>
              <w:t>364</w:t>
            </w:r>
          </w:p>
        </w:tc>
      </w:tr>
      <w:tr w:rsidR="00B23CBA" w:rsidRPr="006D2D0A" w:rsidTr="00562F9C">
        <w:trPr>
          <w:trHeight w:val="20"/>
        </w:trPr>
        <w:tc>
          <w:tcPr>
            <w:tcW w:w="2501"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b/>
                <w:sz w:val="18"/>
              </w:rPr>
            </w:pPr>
          </w:p>
        </w:tc>
        <w:tc>
          <w:tcPr>
            <w:tcW w:w="37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b/>
                <w:sz w:val="18"/>
              </w:rPr>
            </w:pPr>
          </w:p>
        </w:tc>
        <w:tc>
          <w:tcPr>
            <w:tcW w:w="1000" w:type="pct"/>
            <w:tcBorders>
              <w:top w:val="single" w:sz="4" w:space="0" w:color="auto"/>
              <w:left w:val="nil"/>
              <w:bottom w:val="single" w:sz="4" w:space="0" w:color="auto"/>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r w:rsidRPr="006D2D0A">
              <w:rPr>
                <w:b/>
                <w:sz w:val="18"/>
              </w:rPr>
              <w:t>123</w:t>
            </w:r>
          </w:p>
        </w:tc>
        <w:tc>
          <w:tcPr>
            <w:tcW w:w="12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color w:val="FF0000"/>
                <w:sz w:val="18"/>
              </w:rPr>
            </w:pPr>
          </w:p>
        </w:tc>
        <w:tc>
          <w:tcPr>
            <w:tcW w:w="999" w:type="pct"/>
            <w:tcBorders>
              <w:top w:val="single" w:sz="4" w:space="0" w:color="auto"/>
              <w:left w:val="nil"/>
              <w:bottom w:val="single" w:sz="4" w:space="0" w:color="auto"/>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r w:rsidRPr="006D2D0A">
              <w:rPr>
                <w:sz w:val="18"/>
              </w:rPr>
              <w:t>364</w:t>
            </w:r>
          </w:p>
        </w:tc>
      </w:tr>
      <w:tr w:rsidR="00B23CBA" w:rsidRPr="006D2D0A" w:rsidTr="00562F9C">
        <w:trPr>
          <w:trHeight w:val="20"/>
        </w:trPr>
        <w:tc>
          <w:tcPr>
            <w:tcW w:w="2501"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b/>
                <w:sz w:val="18"/>
              </w:rPr>
            </w:pPr>
            <w:r w:rsidRPr="006D2D0A">
              <w:rPr>
                <w:b/>
                <w:sz w:val="18"/>
              </w:rPr>
              <w:t>Net assets</w:t>
            </w:r>
          </w:p>
        </w:tc>
        <w:tc>
          <w:tcPr>
            <w:tcW w:w="37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b/>
                <w:sz w:val="18"/>
              </w:rPr>
            </w:pPr>
          </w:p>
        </w:tc>
        <w:tc>
          <w:tcPr>
            <w:tcW w:w="1000" w:type="pct"/>
            <w:tcBorders>
              <w:top w:val="single" w:sz="4" w:space="0" w:color="auto"/>
              <w:left w:val="nil"/>
              <w:bottom w:val="single" w:sz="4" w:space="0" w:color="auto"/>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r w:rsidRPr="006D2D0A">
              <w:rPr>
                <w:b/>
                <w:sz w:val="18"/>
              </w:rPr>
              <w:t>8,12</w:t>
            </w:r>
            <w:r w:rsidR="00CD5ADD" w:rsidRPr="006D2D0A">
              <w:rPr>
                <w:b/>
                <w:sz w:val="18"/>
              </w:rPr>
              <w:t>6</w:t>
            </w:r>
          </w:p>
        </w:tc>
        <w:tc>
          <w:tcPr>
            <w:tcW w:w="12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p>
        </w:tc>
        <w:tc>
          <w:tcPr>
            <w:tcW w:w="999" w:type="pct"/>
            <w:tcBorders>
              <w:top w:val="single" w:sz="4" w:space="0" w:color="auto"/>
              <w:left w:val="nil"/>
              <w:bottom w:val="single" w:sz="4" w:space="0" w:color="auto"/>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r w:rsidRPr="006D2D0A">
              <w:rPr>
                <w:sz w:val="18"/>
              </w:rPr>
              <w:t>20,985</w:t>
            </w:r>
          </w:p>
        </w:tc>
      </w:tr>
      <w:tr w:rsidR="00B23CBA" w:rsidRPr="006D2D0A" w:rsidTr="00562F9C">
        <w:trPr>
          <w:trHeight w:val="20"/>
        </w:trPr>
        <w:tc>
          <w:tcPr>
            <w:tcW w:w="2501"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b/>
                <w:sz w:val="18"/>
              </w:rPr>
            </w:pPr>
            <w:r w:rsidRPr="006D2D0A">
              <w:rPr>
                <w:b/>
                <w:sz w:val="18"/>
              </w:rPr>
              <w:t>EQUITY</w:t>
            </w:r>
          </w:p>
        </w:tc>
        <w:tc>
          <w:tcPr>
            <w:tcW w:w="37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sz w:val="18"/>
              </w:rPr>
            </w:pPr>
          </w:p>
        </w:tc>
        <w:tc>
          <w:tcPr>
            <w:tcW w:w="1000"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p>
        </w:tc>
        <w:tc>
          <w:tcPr>
            <w:tcW w:w="12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p>
        </w:tc>
        <w:tc>
          <w:tcPr>
            <w:tcW w:w="999"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p>
        </w:tc>
      </w:tr>
      <w:tr w:rsidR="00B23CBA" w:rsidRPr="006D2D0A" w:rsidTr="00562F9C">
        <w:trPr>
          <w:trHeight w:val="20"/>
        </w:trPr>
        <w:tc>
          <w:tcPr>
            <w:tcW w:w="2501"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sz w:val="18"/>
              </w:rPr>
            </w:pPr>
            <w:r w:rsidRPr="006D2D0A">
              <w:rPr>
                <w:sz w:val="18"/>
              </w:rPr>
              <w:t>Share capital</w:t>
            </w:r>
          </w:p>
        </w:tc>
        <w:tc>
          <w:tcPr>
            <w:tcW w:w="37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sz w:val="18"/>
              </w:rPr>
            </w:pPr>
            <w:r w:rsidRPr="006D2D0A">
              <w:rPr>
                <w:sz w:val="18"/>
              </w:rPr>
              <w:t>18</w:t>
            </w:r>
          </w:p>
        </w:tc>
        <w:tc>
          <w:tcPr>
            <w:tcW w:w="1000"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r w:rsidRPr="006D2D0A">
              <w:rPr>
                <w:b/>
                <w:sz w:val="18"/>
              </w:rPr>
              <w:t>24</w:t>
            </w:r>
            <w:r w:rsidR="007B77AC" w:rsidRPr="006D2D0A">
              <w:rPr>
                <w:b/>
                <w:sz w:val="18"/>
              </w:rPr>
              <w:t>6</w:t>
            </w:r>
          </w:p>
        </w:tc>
        <w:tc>
          <w:tcPr>
            <w:tcW w:w="12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color w:val="FF0000"/>
                <w:sz w:val="18"/>
              </w:rPr>
            </w:pPr>
          </w:p>
        </w:tc>
        <w:tc>
          <w:tcPr>
            <w:tcW w:w="999"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r w:rsidRPr="006D2D0A">
              <w:rPr>
                <w:sz w:val="18"/>
              </w:rPr>
              <w:t>477</w:t>
            </w:r>
          </w:p>
        </w:tc>
      </w:tr>
      <w:tr w:rsidR="00B23CBA" w:rsidRPr="006D2D0A" w:rsidTr="00562F9C">
        <w:trPr>
          <w:trHeight w:val="20"/>
        </w:trPr>
        <w:tc>
          <w:tcPr>
            <w:tcW w:w="2501"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sz w:val="18"/>
              </w:rPr>
            </w:pPr>
            <w:r w:rsidRPr="006D2D0A">
              <w:rPr>
                <w:sz w:val="18"/>
              </w:rPr>
              <w:t>Share premium</w:t>
            </w:r>
          </w:p>
        </w:tc>
        <w:tc>
          <w:tcPr>
            <w:tcW w:w="37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sz w:val="18"/>
                <w:highlight w:val="yellow"/>
              </w:rPr>
            </w:pPr>
          </w:p>
        </w:tc>
        <w:tc>
          <w:tcPr>
            <w:tcW w:w="1000"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r w:rsidRPr="006D2D0A">
              <w:rPr>
                <w:b/>
                <w:sz w:val="18"/>
              </w:rPr>
              <w:t>20</w:t>
            </w:r>
            <w:r w:rsidR="002B774D" w:rsidRPr="006D2D0A">
              <w:rPr>
                <w:b/>
                <w:sz w:val="18"/>
              </w:rPr>
              <w:t>,</w:t>
            </w:r>
            <w:r w:rsidRPr="006D2D0A">
              <w:rPr>
                <w:b/>
                <w:sz w:val="18"/>
              </w:rPr>
              <w:t>752</w:t>
            </w:r>
          </w:p>
        </w:tc>
        <w:tc>
          <w:tcPr>
            <w:tcW w:w="12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color w:val="FF0000"/>
                <w:sz w:val="18"/>
              </w:rPr>
            </w:pPr>
          </w:p>
        </w:tc>
        <w:tc>
          <w:tcPr>
            <w:tcW w:w="999"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r w:rsidRPr="006D2D0A">
              <w:rPr>
                <w:sz w:val="18"/>
              </w:rPr>
              <w:t>20,752</w:t>
            </w:r>
          </w:p>
        </w:tc>
      </w:tr>
      <w:tr w:rsidR="00B23CBA" w:rsidRPr="006D2D0A" w:rsidTr="00562F9C">
        <w:trPr>
          <w:trHeight w:val="20"/>
        </w:trPr>
        <w:tc>
          <w:tcPr>
            <w:tcW w:w="2501" w:type="pct"/>
            <w:tcBorders>
              <w:top w:val="nil"/>
              <w:left w:val="nil"/>
              <w:bottom w:val="nil"/>
              <w:right w:val="nil"/>
            </w:tcBorders>
            <w:shd w:val="clear" w:color="auto" w:fill="auto"/>
            <w:vAlign w:val="bottom"/>
          </w:tcPr>
          <w:p w:rsidR="00490538" w:rsidRPr="006D2D0A" w:rsidRDefault="00490538" w:rsidP="00704CC0">
            <w:pPr>
              <w:pStyle w:val="Normal-Table"/>
              <w:tabs>
                <w:tab w:val="left" w:pos="567"/>
                <w:tab w:val="left" w:pos="1134"/>
                <w:tab w:val="left" w:pos="1701"/>
                <w:tab w:val="left" w:pos="2268"/>
              </w:tabs>
              <w:rPr>
                <w:sz w:val="18"/>
              </w:rPr>
            </w:pPr>
            <w:r w:rsidRPr="006D2D0A">
              <w:rPr>
                <w:sz w:val="18"/>
              </w:rPr>
              <w:t>Distributable capital reserve</w:t>
            </w:r>
          </w:p>
        </w:tc>
        <w:tc>
          <w:tcPr>
            <w:tcW w:w="375" w:type="pct"/>
            <w:tcBorders>
              <w:top w:val="nil"/>
              <w:left w:val="nil"/>
              <w:bottom w:val="nil"/>
              <w:right w:val="nil"/>
            </w:tcBorders>
            <w:shd w:val="clear" w:color="auto" w:fill="auto"/>
            <w:vAlign w:val="bottom"/>
          </w:tcPr>
          <w:p w:rsidR="00490538" w:rsidRPr="006D2D0A" w:rsidRDefault="00490538" w:rsidP="00704CC0">
            <w:pPr>
              <w:pStyle w:val="Normal-Table"/>
              <w:tabs>
                <w:tab w:val="left" w:pos="567"/>
                <w:tab w:val="left" w:pos="1134"/>
                <w:tab w:val="left" w:pos="1701"/>
                <w:tab w:val="left" w:pos="2268"/>
              </w:tabs>
              <w:rPr>
                <w:sz w:val="18"/>
                <w:highlight w:val="yellow"/>
              </w:rPr>
            </w:pPr>
          </w:p>
        </w:tc>
        <w:tc>
          <w:tcPr>
            <w:tcW w:w="1000"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r w:rsidRPr="006D2D0A">
              <w:rPr>
                <w:b/>
                <w:sz w:val="18"/>
              </w:rPr>
              <w:t>17,462</w:t>
            </w:r>
          </w:p>
        </w:tc>
        <w:tc>
          <w:tcPr>
            <w:tcW w:w="12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color w:val="FF0000"/>
                <w:sz w:val="18"/>
              </w:rPr>
            </w:pPr>
          </w:p>
        </w:tc>
        <w:tc>
          <w:tcPr>
            <w:tcW w:w="999"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r w:rsidRPr="006D2D0A">
              <w:rPr>
                <w:sz w:val="18"/>
              </w:rPr>
              <w:t>26,231</w:t>
            </w:r>
          </w:p>
        </w:tc>
      </w:tr>
      <w:tr w:rsidR="00B23CBA" w:rsidRPr="006D2D0A" w:rsidTr="00562F9C">
        <w:trPr>
          <w:trHeight w:val="20"/>
        </w:trPr>
        <w:tc>
          <w:tcPr>
            <w:tcW w:w="2501" w:type="pct"/>
            <w:tcBorders>
              <w:top w:val="nil"/>
              <w:left w:val="nil"/>
              <w:bottom w:val="nil"/>
              <w:right w:val="nil"/>
            </w:tcBorders>
            <w:shd w:val="clear" w:color="auto" w:fill="auto"/>
            <w:vAlign w:val="bottom"/>
          </w:tcPr>
          <w:p w:rsidR="00490538" w:rsidRPr="006D2D0A" w:rsidRDefault="00490538" w:rsidP="00704CC0">
            <w:pPr>
              <w:pStyle w:val="Normal-Table"/>
              <w:tabs>
                <w:tab w:val="left" w:pos="567"/>
                <w:tab w:val="left" w:pos="1134"/>
                <w:tab w:val="left" w:pos="1701"/>
                <w:tab w:val="left" w:pos="2268"/>
              </w:tabs>
              <w:rPr>
                <w:sz w:val="18"/>
              </w:rPr>
            </w:pPr>
            <w:r w:rsidRPr="006D2D0A">
              <w:rPr>
                <w:sz w:val="18"/>
              </w:rPr>
              <w:t>Unrealised investment revaluation reserve</w:t>
            </w:r>
          </w:p>
        </w:tc>
        <w:tc>
          <w:tcPr>
            <w:tcW w:w="375" w:type="pct"/>
            <w:tcBorders>
              <w:top w:val="nil"/>
              <w:left w:val="nil"/>
              <w:bottom w:val="nil"/>
              <w:right w:val="nil"/>
            </w:tcBorders>
            <w:shd w:val="clear" w:color="auto" w:fill="auto"/>
            <w:vAlign w:val="bottom"/>
          </w:tcPr>
          <w:p w:rsidR="00490538" w:rsidRPr="006D2D0A" w:rsidRDefault="00490538" w:rsidP="00704CC0">
            <w:pPr>
              <w:pStyle w:val="Normal-Table"/>
              <w:tabs>
                <w:tab w:val="left" w:pos="567"/>
                <w:tab w:val="left" w:pos="1134"/>
                <w:tab w:val="left" w:pos="1701"/>
                <w:tab w:val="left" w:pos="2268"/>
              </w:tabs>
              <w:rPr>
                <w:sz w:val="18"/>
                <w:highlight w:val="yellow"/>
              </w:rPr>
            </w:pPr>
          </w:p>
        </w:tc>
        <w:tc>
          <w:tcPr>
            <w:tcW w:w="1000"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r w:rsidRPr="006D2D0A">
              <w:rPr>
                <w:b/>
                <w:sz w:val="18"/>
              </w:rPr>
              <w:t>(12,40</w:t>
            </w:r>
            <w:r w:rsidR="007B77AC" w:rsidRPr="006D2D0A">
              <w:rPr>
                <w:b/>
                <w:sz w:val="18"/>
              </w:rPr>
              <w:t>8</w:t>
            </w:r>
            <w:r w:rsidRPr="006D2D0A">
              <w:rPr>
                <w:b/>
                <w:sz w:val="18"/>
              </w:rPr>
              <w:t>)</w:t>
            </w:r>
          </w:p>
        </w:tc>
        <w:tc>
          <w:tcPr>
            <w:tcW w:w="12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color w:val="FF0000"/>
                <w:sz w:val="18"/>
              </w:rPr>
            </w:pPr>
          </w:p>
        </w:tc>
        <w:tc>
          <w:tcPr>
            <w:tcW w:w="999"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r w:rsidRPr="006D2D0A">
              <w:rPr>
                <w:sz w:val="18"/>
              </w:rPr>
              <w:t>(16,558)</w:t>
            </w:r>
          </w:p>
        </w:tc>
      </w:tr>
      <w:tr w:rsidR="00B23CBA" w:rsidRPr="006D2D0A" w:rsidTr="00562F9C">
        <w:trPr>
          <w:trHeight w:val="20"/>
        </w:trPr>
        <w:tc>
          <w:tcPr>
            <w:tcW w:w="2501"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sz w:val="18"/>
              </w:rPr>
            </w:pPr>
            <w:r w:rsidRPr="006D2D0A">
              <w:rPr>
                <w:sz w:val="18"/>
              </w:rPr>
              <w:t>Accumulated losses</w:t>
            </w:r>
          </w:p>
        </w:tc>
        <w:tc>
          <w:tcPr>
            <w:tcW w:w="37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sz w:val="18"/>
                <w:highlight w:val="yellow"/>
              </w:rPr>
            </w:pPr>
          </w:p>
        </w:tc>
        <w:tc>
          <w:tcPr>
            <w:tcW w:w="1000" w:type="pct"/>
            <w:tcBorders>
              <w:top w:val="nil"/>
              <w:left w:val="nil"/>
              <w:bottom w:val="single" w:sz="4" w:space="0" w:color="auto"/>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r w:rsidRPr="006D2D0A">
              <w:rPr>
                <w:b/>
                <w:sz w:val="18"/>
              </w:rPr>
              <w:t>(17,92</w:t>
            </w:r>
            <w:r w:rsidR="00CD5ADD" w:rsidRPr="006D2D0A">
              <w:rPr>
                <w:b/>
                <w:sz w:val="18"/>
              </w:rPr>
              <w:t>6</w:t>
            </w:r>
            <w:r w:rsidRPr="006D2D0A">
              <w:rPr>
                <w:b/>
                <w:sz w:val="18"/>
              </w:rPr>
              <w:t>)</w:t>
            </w:r>
          </w:p>
        </w:tc>
        <w:tc>
          <w:tcPr>
            <w:tcW w:w="12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color w:val="FF0000"/>
                <w:sz w:val="18"/>
              </w:rPr>
            </w:pPr>
          </w:p>
        </w:tc>
        <w:tc>
          <w:tcPr>
            <w:tcW w:w="999" w:type="pct"/>
            <w:tcBorders>
              <w:top w:val="nil"/>
              <w:left w:val="nil"/>
              <w:bottom w:val="single" w:sz="4" w:space="0" w:color="auto"/>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sz w:val="18"/>
              </w:rPr>
            </w:pPr>
            <w:r w:rsidRPr="006D2D0A">
              <w:rPr>
                <w:sz w:val="18"/>
              </w:rPr>
              <w:t>(9,917)</w:t>
            </w:r>
          </w:p>
        </w:tc>
      </w:tr>
      <w:tr w:rsidR="00B23CBA" w:rsidRPr="006D2D0A" w:rsidTr="00562F9C">
        <w:trPr>
          <w:trHeight w:val="20"/>
        </w:trPr>
        <w:tc>
          <w:tcPr>
            <w:tcW w:w="2501" w:type="pct"/>
            <w:tcBorders>
              <w:top w:val="nil"/>
              <w:left w:val="nil"/>
              <w:bottom w:val="nil"/>
              <w:right w:val="nil"/>
            </w:tcBorders>
            <w:shd w:val="clear" w:color="auto" w:fill="auto"/>
            <w:noWrap/>
            <w:vAlign w:val="bottom"/>
          </w:tcPr>
          <w:p w:rsidR="00B23CBA" w:rsidRPr="006D2D0A" w:rsidRDefault="00B23CBA" w:rsidP="00704CC0">
            <w:pPr>
              <w:pStyle w:val="Normal-Table"/>
              <w:tabs>
                <w:tab w:val="left" w:pos="567"/>
                <w:tab w:val="left" w:pos="1134"/>
                <w:tab w:val="left" w:pos="1701"/>
                <w:tab w:val="left" w:pos="2268"/>
              </w:tabs>
              <w:rPr>
                <w:b/>
                <w:sz w:val="18"/>
              </w:rPr>
            </w:pPr>
            <w:r w:rsidRPr="006D2D0A">
              <w:rPr>
                <w:b/>
                <w:sz w:val="18"/>
              </w:rPr>
              <w:t>Total attributable to the owners of the parent</w:t>
            </w:r>
          </w:p>
        </w:tc>
        <w:tc>
          <w:tcPr>
            <w:tcW w:w="375" w:type="pct"/>
            <w:tcBorders>
              <w:top w:val="nil"/>
              <w:left w:val="nil"/>
              <w:bottom w:val="nil"/>
              <w:right w:val="nil"/>
            </w:tcBorders>
            <w:shd w:val="clear" w:color="auto" w:fill="auto"/>
            <w:vAlign w:val="bottom"/>
          </w:tcPr>
          <w:p w:rsidR="00B23CBA" w:rsidRPr="006D2D0A" w:rsidRDefault="00B23CBA" w:rsidP="00704CC0">
            <w:pPr>
              <w:pStyle w:val="Normal-Table"/>
              <w:tabs>
                <w:tab w:val="left" w:pos="567"/>
                <w:tab w:val="left" w:pos="1134"/>
                <w:tab w:val="left" w:pos="1701"/>
                <w:tab w:val="left" w:pos="2268"/>
              </w:tabs>
              <w:rPr>
                <w:b/>
                <w:sz w:val="18"/>
              </w:rPr>
            </w:pPr>
          </w:p>
        </w:tc>
        <w:tc>
          <w:tcPr>
            <w:tcW w:w="1000" w:type="pct"/>
            <w:tcBorders>
              <w:top w:val="nil"/>
              <w:left w:val="nil"/>
              <w:bottom w:val="nil"/>
              <w:right w:val="nil"/>
            </w:tcBorders>
            <w:shd w:val="clear" w:color="auto" w:fill="auto"/>
            <w:noWrap/>
            <w:vAlign w:val="bottom"/>
          </w:tcPr>
          <w:p w:rsidR="00B23CBA" w:rsidRPr="006D2D0A" w:rsidRDefault="00B23CBA" w:rsidP="00704CC0">
            <w:pPr>
              <w:pStyle w:val="Normal-Table"/>
              <w:tabs>
                <w:tab w:val="left" w:pos="567"/>
                <w:tab w:val="left" w:pos="1134"/>
                <w:tab w:val="left" w:pos="1701"/>
                <w:tab w:val="left" w:pos="2268"/>
              </w:tabs>
              <w:jc w:val="right"/>
              <w:rPr>
                <w:b/>
                <w:sz w:val="18"/>
              </w:rPr>
            </w:pPr>
            <w:r w:rsidRPr="006D2D0A">
              <w:rPr>
                <w:b/>
                <w:sz w:val="18"/>
              </w:rPr>
              <w:t>8,126</w:t>
            </w:r>
          </w:p>
        </w:tc>
        <w:tc>
          <w:tcPr>
            <w:tcW w:w="125" w:type="pct"/>
            <w:tcBorders>
              <w:top w:val="nil"/>
              <w:left w:val="nil"/>
              <w:bottom w:val="nil"/>
              <w:right w:val="nil"/>
            </w:tcBorders>
            <w:shd w:val="clear" w:color="auto" w:fill="auto"/>
            <w:noWrap/>
            <w:vAlign w:val="bottom"/>
          </w:tcPr>
          <w:p w:rsidR="00B23CBA" w:rsidRPr="006D2D0A" w:rsidRDefault="00B23CBA" w:rsidP="00704CC0">
            <w:pPr>
              <w:pStyle w:val="Normal-Table"/>
              <w:tabs>
                <w:tab w:val="left" w:pos="567"/>
                <w:tab w:val="left" w:pos="1134"/>
                <w:tab w:val="left" w:pos="1701"/>
                <w:tab w:val="left" w:pos="2268"/>
              </w:tabs>
              <w:jc w:val="right"/>
              <w:rPr>
                <w:b/>
                <w:color w:val="FF0000"/>
                <w:sz w:val="18"/>
              </w:rPr>
            </w:pPr>
          </w:p>
        </w:tc>
        <w:tc>
          <w:tcPr>
            <w:tcW w:w="999" w:type="pct"/>
            <w:tcBorders>
              <w:top w:val="nil"/>
              <w:left w:val="nil"/>
              <w:bottom w:val="nil"/>
              <w:right w:val="nil"/>
            </w:tcBorders>
            <w:shd w:val="clear" w:color="auto" w:fill="auto"/>
            <w:noWrap/>
            <w:vAlign w:val="bottom"/>
          </w:tcPr>
          <w:p w:rsidR="00B23CBA" w:rsidRPr="006D2D0A" w:rsidRDefault="00B23CBA" w:rsidP="00704CC0">
            <w:pPr>
              <w:pStyle w:val="Normal-Table"/>
              <w:tabs>
                <w:tab w:val="left" w:pos="567"/>
                <w:tab w:val="left" w:pos="1134"/>
                <w:tab w:val="left" w:pos="1701"/>
                <w:tab w:val="left" w:pos="2268"/>
              </w:tabs>
              <w:jc w:val="right"/>
              <w:rPr>
                <w:sz w:val="18"/>
              </w:rPr>
            </w:pPr>
            <w:r w:rsidRPr="006D2D0A">
              <w:rPr>
                <w:sz w:val="18"/>
              </w:rPr>
              <w:t>20,985</w:t>
            </w:r>
          </w:p>
        </w:tc>
      </w:tr>
      <w:tr w:rsidR="00B23CBA" w:rsidRPr="006D2D0A" w:rsidTr="00562F9C">
        <w:trPr>
          <w:trHeight w:val="20"/>
        </w:trPr>
        <w:tc>
          <w:tcPr>
            <w:tcW w:w="2501" w:type="pct"/>
            <w:tcBorders>
              <w:top w:val="nil"/>
              <w:left w:val="nil"/>
              <w:bottom w:val="nil"/>
              <w:right w:val="nil"/>
            </w:tcBorders>
            <w:shd w:val="clear" w:color="auto" w:fill="auto"/>
            <w:vAlign w:val="bottom"/>
          </w:tcPr>
          <w:p w:rsidR="00490538" w:rsidRPr="006D2D0A" w:rsidRDefault="00490538" w:rsidP="00704CC0">
            <w:pPr>
              <w:pStyle w:val="Normal-Table"/>
              <w:tabs>
                <w:tab w:val="left" w:pos="567"/>
                <w:tab w:val="left" w:pos="1134"/>
                <w:tab w:val="left" w:pos="1701"/>
                <w:tab w:val="left" w:pos="2268"/>
              </w:tabs>
              <w:rPr>
                <w:b/>
                <w:sz w:val="18"/>
              </w:rPr>
            </w:pPr>
            <w:r w:rsidRPr="006D2D0A">
              <w:rPr>
                <w:b/>
                <w:sz w:val="18"/>
              </w:rPr>
              <w:t>Total equity</w:t>
            </w:r>
          </w:p>
        </w:tc>
        <w:tc>
          <w:tcPr>
            <w:tcW w:w="375" w:type="pct"/>
            <w:tcBorders>
              <w:top w:val="nil"/>
              <w:left w:val="nil"/>
              <w:bottom w:val="nil"/>
              <w:right w:val="nil"/>
            </w:tcBorders>
            <w:shd w:val="clear" w:color="auto" w:fill="auto"/>
            <w:vAlign w:val="bottom"/>
          </w:tcPr>
          <w:p w:rsidR="00490538" w:rsidRPr="006D2D0A" w:rsidRDefault="00490538" w:rsidP="00704CC0">
            <w:pPr>
              <w:pStyle w:val="Normal-Table"/>
              <w:tabs>
                <w:tab w:val="left" w:pos="567"/>
                <w:tab w:val="left" w:pos="1134"/>
                <w:tab w:val="left" w:pos="1701"/>
                <w:tab w:val="left" w:pos="2268"/>
              </w:tabs>
              <w:rPr>
                <w:b/>
                <w:sz w:val="18"/>
              </w:rPr>
            </w:pPr>
          </w:p>
        </w:tc>
        <w:tc>
          <w:tcPr>
            <w:tcW w:w="1000" w:type="pct"/>
            <w:tcBorders>
              <w:top w:val="single" w:sz="4" w:space="0" w:color="auto"/>
              <w:left w:val="nil"/>
              <w:bottom w:val="single" w:sz="8" w:space="0" w:color="auto"/>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r w:rsidRPr="006D2D0A">
              <w:rPr>
                <w:b/>
                <w:sz w:val="18"/>
              </w:rPr>
              <w:t>8,12</w:t>
            </w:r>
            <w:r w:rsidR="00CD5ADD" w:rsidRPr="006D2D0A">
              <w:rPr>
                <w:b/>
                <w:sz w:val="18"/>
              </w:rPr>
              <w:t>6</w:t>
            </w:r>
          </w:p>
        </w:tc>
        <w:tc>
          <w:tcPr>
            <w:tcW w:w="12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p>
        </w:tc>
        <w:tc>
          <w:tcPr>
            <w:tcW w:w="999" w:type="pct"/>
            <w:tcBorders>
              <w:top w:val="single" w:sz="4" w:space="0" w:color="auto"/>
              <w:left w:val="nil"/>
              <w:bottom w:val="single" w:sz="8" w:space="0" w:color="auto"/>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r w:rsidRPr="006D2D0A">
              <w:rPr>
                <w:b/>
                <w:sz w:val="18"/>
              </w:rPr>
              <w:t>20,985</w:t>
            </w:r>
          </w:p>
        </w:tc>
      </w:tr>
      <w:tr w:rsidR="00B23CBA" w:rsidRPr="006D2D0A" w:rsidTr="00562F9C">
        <w:trPr>
          <w:trHeight w:val="20"/>
        </w:trPr>
        <w:tc>
          <w:tcPr>
            <w:tcW w:w="2501"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b/>
                <w:sz w:val="18"/>
              </w:rPr>
            </w:pPr>
            <w:r w:rsidRPr="006D2D0A">
              <w:rPr>
                <w:b/>
                <w:sz w:val="18"/>
              </w:rPr>
              <w:t>Net asset value per share</w:t>
            </w:r>
          </w:p>
        </w:tc>
        <w:tc>
          <w:tcPr>
            <w:tcW w:w="37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rPr>
                <w:b/>
                <w:sz w:val="18"/>
              </w:rPr>
            </w:pPr>
            <w:r w:rsidRPr="006D2D0A">
              <w:rPr>
                <w:b/>
                <w:sz w:val="18"/>
              </w:rPr>
              <w:t>19</w:t>
            </w:r>
          </w:p>
        </w:tc>
        <w:tc>
          <w:tcPr>
            <w:tcW w:w="1000"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r w:rsidRPr="006D2D0A">
              <w:rPr>
                <w:b/>
                <w:sz w:val="18"/>
              </w:rPr>
              <w:t>£0.</w:t>
            </w:r>
            <w:r w:rsidR="00607878" w:rsidRPr="006D2D0A">
              <w:rPr>
                <w:b/>
                <w:sz w:val="18"/>
              </w:rPr>
              <w:t>33</w:t>
            </w:r>
          </w:p>
        </w:tc>
        <w:tc>
          <w:tcPr>
            <w:tcW w:w="125"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p>
        </w:tc>
        <w:tc>
          <w:tcPr>
            <w:tcW w:w="999" w:type="pct"/>
            <w:tcBorders>
              <w:top w:val="nil"/>
              <w:left w:val="nil"/>
              <w:bottom w:val="nil"/>
              <w:right w:val="nil"/>
            </w:tcBorders>
            <w:shd w:val="clear" w:color="auto" w:fill="auto"/>
            <w:noWrap/>
            <w:vAlign w:val="bottom"/>
          </w:tcPr>
          <w:p w:rsidR="00490538" w:rsidRPr="006D2D0A" w:rsidRDefault="00490538" w:rsidP="00704CC0">
            <w:pPr>
              <w:pStyle w:val="Normal-Table"/>
              <w:tabs>
                <w:tab w:val="left" w:pos="567"/>
                <w:tab w:val="left" w:pos="1134"/>
                <w:tab w:val="left" w:pos="1701"/>
                <w:tab w:val="left" w:pos="2268"/>
              </w:tabs>
              <w:jc w:val="right"/>
              <w:rPr>
                <w:b/>
                <w:sz w:val="18"/>
              </w:rPr>
            </w:pPr>
            <w:r w:rsidRPr="006D2D0A">
              <w:rPr>
                <w:b/>
                <w:sz w:val="18"/>
              </w:rPr>
              <w:t>£0.44</w:t>
            </w:r>
          </w:p>
        </w:tc>
      </w:tr>
    </w:tbl>
    <w:p w:rsidR="00043F45" w:rsidRPr="00EB02DA" w:rsidRDefault="00043F45" w:rsidP="00704CC0">
      <w:pPr>
        <w:pStyle w:val="Normal2-Para"/>
        <w:tabs>
          <w:tab w:val="left" w:pos="567"/>
          <w:tab w:val="left" w:pos="1134"/>
          <w:tab w:val="left" w:pos="1701"/>
          <w:tab w:val="left" w:pos="2268"/>
        </w:tabs>
        <w:spacing w:line="240" w:lineRule="auto"/>
        <w:rPr>
          <w:i/>
        </w:rPr>
      </w:pPr>
      <w:r w:rsidRPr="00EB02DA">
        <w:rPr>
          <w:i/>
        </w:rPr>
        <w:t>(The accompanying notes are an integral part of the financial statements.)</w:t>
      </w:r>
    </w:p>
    <w:p w:rsidR="00043F45" w:rsidRPr="00043F45" w:rsidRDefault="00043F45" w:rsidP="00704CC0">
      <w:pPr>
        <w:pStyle w:val="Normal2-Para"/>
        <w:tabs>
          <w:tab w:val="left" w:pos="567"/>
          <w:tab w:val="left" w:pos="1134"/>
          <w:tab w:val="left" w:pos="1701"/>
          <w:tab w:val="left" w:pos="2268"/>
        </w:tabs>
        <w:spacing w:before="240" w:line="240" w:lineRule="auto"/>
      </w:pPr>
      <w:r w:rsidRPr="00043F45">
        <w:t xml:space="preserve">The financial statements on pages 14 to 43 were approved and authorised for issue by the Board of Directors on 26 </w:t>
      </w:r>
      <w:proofErr w:type="gramStart"/>
      <w:r w:rsidRPr="00043F45">
        <w:t>February  2014</w:t>
      </w:r>
      <w:proofErr w:type="gramEnd"/>
      <w:r w:rsidRPr="00043F45">
        <w:t xml:space="preserve"> and are signed on its behalf by</w:t>
      </w:r>
    </w:p>
    <w:tbl>
      <w:tblPr>
        <w:tblW w:w="8953" w:type="dxa"/>
        <w:tblCellMar>
          <w:top w:w="57" w:type="dxa"/>
          <w:left w:w="57" w:type="dxa"/>
          <w:bottom w:w="57" w:type="dxa"/>
          <w:right w:w="57" w:type="dxa"/>
        </w:tblCellMar>
        <w:tblLook w:val="04A0"/>
      </w:tblPr>
      <w:tblGrid>
        <w:gridCol w:w="4476"/>
        <w:gridCol w:w="4477"/>
      </w:tblGrid>
      <w:tr w:rsidR="00043F45" w:rsidRPr="00A76890" w:rsidTr="00562F9C">
        <w:tc>
          <w:tcPr>
            <w:tcW w:w="4476" w:type="dxa"/>
            <w:tcBorders>
              <w:top w:val="nil"/>
              <w:left w:val="nil"/>
              <w:right w:val="nil"/>
            </w:tcBorders>
            <w:shd w:val="clear" w:color="auto" w:fill="auto"/>
            <w:vAlign w:val="bottom"/>
          </w:tcPr>
          <w:p w:rsidR="00043F45" w:rsidRPr="00A76890" w:rsidRDefault="00043F45" w:rsidP="00704CC0">
            <w:pPr>
              <w:pStyle w:val="Normal2-Para"/>
              <w:tabs>
                <w:tab w:val="left" w:pos="567"/>
                <w:tab w:val="left" w:pos="1134"/>
                <w:tab w:val="left" w:pos="1701"/>
                <w:tab w:val="left" w:pos="2268"/>
              </w:tabs>
              <w:spacing w:line="240" w:lineRule="auto"/>
              <w:jc w:val="left"/>
            </w:pPr>
            <w:r w:rsidRPr="00043F45">
              <w:rPr>
                <w:b/>
              </w:rPr>
              <w:t>Vikram Lall</w:t>
            </w:r>
            <w:r w:rsidRPr="00043F45">
              <w:br/>
            </w:r>
            <w:r w:rsidRPr="00A76890">
              <w:t>Director</w:t>
            </w:r>
          </w:p>
        </w:tc>
        <w:tc>
          <w:tcPr>
            <w:tcW w:w="4476" w:type="dxa"/>
            <w:tcBorders>
              <w:top w:val="nil"/>
              <w:left w:val="nil"/>
              <w:right w:val="nil"/>
            </w:tcBorders>
            <w:shd w:val="clear" w:color="auto" w:fill="auto"/>
            <w:vAlign w:val="bottom"/>
          </w:tcPr>
          <w:p w:rsidR="00043F45" w:rsidRPr="00A76890" w:rsidRDefault="00043F45" w:rsidP="00704CC0">
            <w:pPr>
              <w:pStyle w:val="Normal2-Para"/>
              <w:tabs>
                <w:tab w:val="left" w:pos="567"/>
                <w:tab w:val="left" w:pos="1134"/>
                <w:tab w:val="left" w:pos="1701"/>
                <w:tab w:val="left" w:pos="2268"/>
              </w:tabs>
              <w:spacing w:line="240" w:lineRule="auto"/>
              <w:jc w:val="left"/>
            </w:pPr>
            <w:r w:rsidRPr="00043F45">
              <w:rPr>
                <w:b/>
              </w:rPr>
              <w:t>Elizabeth Tansell</w:t>
            </w:r>
            <w:r w:rsidRPr="00043F45">
              <w:rPr>
                <w:b/>
              </w:rPr>
              <w:br/>
            </w:r>
            <w:r w:rsidRPr="00A76890">
              <w:t>Director</w:t>
            </w:r>
          </w:p>
        </w:tc>
      </w:tr>
    </w:tbl>
    <w:p w:rsidR="00063391" w:rsidRPr="00704CC0" w:rsidRDefault="00063391" w:rsidP="00704CC0">
      <w:pPr>
        <w:pStyle w:val="Heading2-Para"/>
        <w:spacing w:before="720" w:after="120"/>
        <w:rPr>
          <w:sz w:val="24"/>
          <w:szCs w:val="24"/>
        </w:rPr>
      </w:pPr>
      <w:bookmarkStart w:id="10" w:name="_Toc286417103"/>
      <w:bookmarkStart w:id="11" w:name="_Toc317955099"/>
      <w:r w:rsidRPr="00704CC0">
        <w:rPr>
          <w:sz w:val="24"/>
          <w:szCs w:val="24"/>
        </w:rPr>
        <w:lastRenderedPageBreak/>
        <w:t>Company Statement of Financial Position</w:t>
      </w:r>
      <w:bookmarkEnd w:id="10"/>
      <w:bookmarkEnd w:id="11"/>
    </w:p>
    <w:tbl>
      <w:tblPr>
        <w:tblW w:w="8703" w:type="dxa"/>
        <w:tblLayout w:type="fixed"/>
        <w:tblCellMar>
          <w:top w:w="28" w:type="dxa"/>
          <w:left w:w="57" w:type="dxa"/>
          <w:bottom w:w="28" w:type="dxa"/>
          <w:right w:w="57" w:type="dxa"/>
        </w:tblCellMar>
        <w:tblLook w:val="04A0"/>
      </w:tblPr>
      <w:tblGrid>
        <w:gridCol w:w="3794"/>
        <w:gridCol w:w="832"/>
        <w:gridCol w:w="1875"/>
        <w:gridCol w:w="371"/>
        <w:gridCol w:w="1831"/>
      </w:tblGrid>
      <w:tr w:rsidR="00043F45" w:rsidRPr="006D2D0A" w:rsidTr="00562F9C">
        <w:trPr>
          <w:trHeight w:val="20"/>
        </w:trPr>
        <w:tc>
          <w:tcPr>
            <w:tcW w:w="2180" w:type="pct"/>
            <w:tcBorders>
              <w:top w:val="nil"/>
              <w:left w:val="nil"/>
              <w:right w:val="nil"/>
            </w:tcBorders>
            <w:shd w:val="clear" w:color="auto" w:fill="auto"/>
            <w:noWrap/>
          </w:tcPr>
          <w:p w:rsidR="00043F45" w:rsidRPr="006D2D0A" w:rsidRDefault="00043F45" w:rsidP="00704CC0">
            <w:pPr>
              <w:keepNext/>
              <w:keepLines/>
              <w:tabs>
                <w:tab w:val="left" w:pos="567"/>
                <w:tab w:val="left" w:pos="1134"/>
                <w:tab w:val="left" w:pos="1701"/>
                <w:tab w:val="left" w:pos="2268"/>
              </w:tabs>
              <w:rPr>
                <w:rFonts w:cs="Arial"/>
                <w:sz w:val="18"/>
                <w:szCs w:val="18"/>
              </w:rPr>
            </w:pPr>
          </w:p>
        </w:tc>
        <w:tc>
          <w:tcPr>
            <w:tcW w:w="478" w:type="pct"/>
            <w:tcBorders>
              <w:top w:val="nil"/>
              <w:left w:val="nil"/>
              <w:right w:val="nil"/>
            </w:tcBorders>
            <w:shd w:val="clear" w:color="auto" w:fill="auto"/>
            <w:noWrap/>
            <w:vAlign w:val="bottom"/>
          </w:tcPr>
          <w:p w:rsidR="00043F45" w:rsidRPr="006D2D0A" w:rsidRDefault="00043F45" w:rsidP="00704CC0">
            <w:pPr>
              <w:keepNext/>
              <w:keepLines/>
              <w:tabs>
                <w:tab w:val="left" w:pos="567"/>
                <w:tab w:val="left" w:pos="1134"/>
                <w:tab w:val="left" w:pos="1701"/>
                <w:tab w:val="left" w:pos="2268"/>
              </w:tabs>
              <w:rPr>
                <w:rFonts w:cs="Arial"/>
                <w:b/>
                <w:sz w:val="18"/>
                <w:szCs w:val="18"/>
              </w:rPr>
            </w:pPr>
            <w:r w:rsidRPr="006D2D0A">
              <w:rPr>
                <w:rFonts w:cs="Arial"/>
                <w:sz w:val="18"/>
                <w:szCs w:val="18"/>
              </w:rPr>
              <w:t>Notes</w:t>
            </w:r>
          </w:p>
        </w:tc>
        <w:tc>
          <w:tcPr>
            <w:tcW w:w="1077" w:type="pct"/>
            <w:tcBorders>
              <w:top w:val="nil"/>
              <w:left w:val="nil"/>
              <w:right w:val="nil"/>
            </w:tcBorders>
            <w:shd w:val="clear" w:color="auto" w:fill="auto"/>
            <w:noWrap/>
            <w:vAlign w:val="bottom"/>
          </w:tcPr>
          <w:p w:rsidR="00043F45" w:rsidRPr="006D2D0A" w:rsidRDefault="00043F45"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As at</w:t>
            </w:r>
          </w:p>
          <w:p w:rsidR="00043F45" w:rsidRPr="006D2D0A" w:rsidRDefault="00043F45"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31 August 2013</w:t>
            </w:r>
          </w:p>
          <w:p w:rsidR="00043F45" w:rsidRPr="006D2D0A" w:rsidRDefault="00043F45"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£'000</w:t>
            </w:r>
          </w:p>
        </w:tc>
        <w:tc>
          <w:tcPr>
            <w:tcW w:w="213" w:type="pct"/>
            <w:tcBorders>
              <w:top w:val="nil"/>
              <w:left w:val="nil"/>
              <w:right w:val="nil"/>
            </w:tcBorders>
            <w:shd w:val="clear" w:color="auto" w:fill="auto"/>
            <w:noWrap/>
            <w:vAlign w:val="bottom"/>
          </w:tcPr>
          <w:p w:rsidR="00043F45" w:rsidRPr="006D2D0A" w:rsidRDefault="00043F45" w:rsidP="00704CC0">
            <w:pPr>
              <w:keepNext/>
              <w:keepLines/>
              <w:tabs>
                <w:tab w:val="left" w:pos="567"/>
                <w:tab w:val="left" w:pos="1134"/>
                <w:tab w:val="left" w:pos="1701"/>
                <w:tab w:val="left" w:pos="2268"/>
              </w:tabs>
              <w:jc w:val="right"/>
              <w:rPr>
                <w:rFonts w:cs="Arial"/>
                <w:b/>
                <w:bCs/>
                <w:sz w:val="18"/>
                <w:szCs w:val="18"/>
              </w:rPr>
            </w:pPr>
          </w:p>
        </w:tc>
        <w:tc>
          <w:tcPr>
            <w:tcW w:w="1052" w:type="pct"/>
            <w:tcBorders>
              <w:top w:val="nil"/>
              <w:left w:val="nil"/>
              <w:right w:val="nil"/>
            </w:tcBorders>
            <w:shd w:val="clear" w:color="auto" w:fill="auto"/>
            <w:noWrap/>
            <w:vAlign w:val="bottom"/>
          </w:tcPr>
          <w:p w:rsidR="00043F45" w:rsidRPr="006D2D0A" w:rsidRDefault="00043F45"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As at</w:t>
            </w:r>
          </w:p>
          <w:p w:rsidR="00043F45" w:rsidRPr="006D2D0A" w:rsidRDefault="00043F45"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31 August 2012</w:t>
            </w:r>
          </w:p>
          <w:p w:rsidR="00043F45" w:rsidRPr="006D2D0A" w:rsidRDefault="00043F45"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(Restated*)</w:t>
            </w:r>
          </w:p>
          <w:p w:rsidR="00043F45" w:rsidRPr="006D2D0A" w:rsidRDefault="00043F45"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£'000</w:t>
            </w:r>
          </w:p>
        </w:tc>
      </w:tr>
      <w:tr w:rsidR="00063391" w:rsidRPr="006D2D0A" w:rsidTr="00562F9C">
        <w:trPr>
          <w:trHeight w:val="20"/>
        </w:trPr>
        <w:tc>
          <w:tcPr>
            <w:tcW w:w="2180" w:type="pct"/>
            <w:tcBorders>
              <w:top w:val="nil"/>
              <w:left w:val="nil"/>
              <w:bottom w:val="nil"/>
              <w:right w:val="nil"/>
            </w:tcBorders>
            <w:shd w:val="clear" w:color="auto" w:fill="auto"/>
            <w:noWrap/>
          </w:tcPr>
          <w:p w:rsidR="00063391" w:rsidRPr="006D2D0A" w:rsidRDefault="00063391" w:rsidP="00704CC0">
            <w:pPr>
              <w:keepNext/>
              <w:keepLines/>
              <w:tabs>
                <w:tab w:val="left" w:pos="567"/>
                <w:tab w:val="left" w:pos="1134"/>
                <w:tab w:val="left" w:pos="1701"/>
                <w:tab w:val="left" w:pos="2268"/>
              </w:tabs>
              <w:rPr>
                <w:rFonts w:cs="Arial"/>
                <w:b/>
                <w:bCs/>
                <w:sz w:val="18"/>
                <w:szCs w:val="18"/>
              </w:rPr>
            </w:pPr>
            <w:r w:rsidRPr="006D2D0A">
              <w:rPr>
                <w:rFonts w:cs="Arial"/>
                <w:b/>
                <w:bCs/>
                <w:sz w:val="18"/>
                <w:szCs w:val="18"/>
              </w:rPr>
              <w:t>ASSETS</w:t>
            </w:r>
          </w:p>
        </w:tc>
        <w:tc>
          <w:tcPr>
            <w:tcW w:w="478" w:type="pct"/>
            <w:tcBorders>
              <w:top w:val="nil"/>
              <w:left w:val="nil"/>
              <w:bottom w:val="nil"/>
              <w:right w:val="nil"/>
            </w:tcBorders>
            <w:shd w:val="clear" w:color="auto" w:fill="auto"/>
            <w:noWrap/>
          </w:tcPr>
          <w:p w:rsidR="00063391" w:rsidRPr="006D2D0A" w:rsidRDefault="00063391" w:rsidP="00704CC0">
            <w:pPr>
              <w:keepNext/>
              <w:keepLines/>
              <w:tabs>
                <w:tab w:val="left" w:pos="567"/>
                <w:tab w:val="left" w:pos="1134"/>
                <w:tab w:val="left" w:pos="1701"/>
                <w:tab w:val="left" w:pos="2268"/>
              </w:tabs>
              <w:rPr>
                <w:rFonts w:cs="Arial"/>
                <w:sz w:val="18"/>
                <w:szCs w:val="18"/>
              </w:rPr>
            </w:pPr>
          </w:p>
        </w:tc>
        <w:tc>
          <w:tcPr>
            <w:tcW w:w="1077" w:type="pct"/>
            <w:tcBorders>
              <w:top w:val="nil"/>
              <w:left w:val="nil"/>
              <w:bottom w:val="nil"/>
              <w:right w:val="nil"/>
            </w:tcBorders>
            <w:shd w:val="clear" w:color="auto" w:fill="auto"/>
            <w:noWrap/>
            <w:vAlign w:val="bottom"/>
          </w:tcPr>
          <w:p w:rsidR="00063391" w:rsidRPr="006D2D0A" w:rsidRDefault="00063391" w:rsidP="00704CC0">
            <w:pPr>
              <w:keepNext/>
              <w:keepLines/>
              <w:tabs>
                <w:tab w:val="left" w:pos="567"/>
                <w:tab w:val="left" w:pos="1134"/>
                <w:tab w:val="left" w:pos="1701"/>
                <w:tab w:val="left" w:pos="2268"/>
              </w:tabs>
              <w:jc w:val="right"/>
              <w:rPr>
                <w:rFonts w:cs="Arial"/>
                <w:b/>
                <w:bCs/>
                <w:sz w:val="18"/>
                <w:szCs w:val="18"/>
              </w:rPr>
            </w:pPr>
          </w:p>
        </w:tc>
        <w:tc>
          <w:tcPr>
            <w:tcW w:w="213" w:type="pct"/>
            <w:tcBorders>
              <w:top w:val="nil"/>
              <w:left w:val="nil"/>
              <w:bottom w:val="nil"/>
              <w:right w:val="nil"/>
            </w:tcBorders>
            <w:shd w:val="clear" w:color="auto" w:fill="auto"/>
            <w:noWrap/>
            <w:vAlign w:val="bottom"/>
          </w:tcPr>
          <w:p w:rsidR="00063391" w:rsidRPr="006D2D0A" w:rsidRDefault="00063391" w:rsidP="00704CC0">
            <w:pPr>
              <w:keepNext/>
              <w:keepLines/>
              <w:tabs>
                <w:tab w:val="left" w:pos="567"/>
                <w:tab w:val="left" w:pos="1134"/>
                <w:tab w:val="left" w:pos="1701"/>
                <w:tab w:val="left" w:pos="2268"/>
              </w:tabs>
              <w:jc w:val="right"/>
              <w:rPr>
                <w:rFonts w:cs="Arial"/>
                <w:sz w:val="18"/>
                <w:szCs w:val="18"/>
              </w:rPr>
            </w:pPr>
          </w:p>
        </w:tc>
        <w:tc>
          <w:tcPr>
            <w:tcW w:w="1052" w:type="pct"/>
            <w:tcBorders>
              <w:top w:val="nil"/>
              <w:left w:val="nil"/>
              <w:bottom w:val="nil"/>
              <w:right w:val="nil"/>
            </w:tcBorders>
            <w:shd w:val="clear" w:color="auto" w:fill="auto"/>
            <w:noWrap/>
            <w:vAlign w:val="bottom"/>
          </w:tcPr>
          <w:p w:rsidR="00063391" w:rsidRPr="006D2D0A" w:rsidRDefault="00063391" w:rsidP="00704CC0">
            <w:pPr>
              <w:keepNext/>
              <w:keepLines/>
              <w:tabs>
                <w:tab w:val="left" w:pos="567"/>
                <w:tab w:val="left" w:pos="1134"/>
                <w:tab w:val="left" w:pos="1701"/>
                <w:tab w:val="left" w:pos="2268"/>
              </w:tabs>
              <w:jc w:val="right"/>
              <w:rPr>
                <w:rFonts w:cs="Arial"/>
                <w:bCs/>
                <w:sz w:val="18"/>
                <w:szCs w:val="18"/>
              </w:rPr>
            </w:pPr>
          </w:p>
        </w:tc>
      </w:tr>
      <w:tr w:rsidR="00063391" w:rsidRPr="006D2D0A" w:rsidTr="00562F9C">
        <w:trPr>
          <w:trHeight w:val="20"/>
        </w:trPr>
        <w:tc>
          <w:tcPr>
            <w:tcW w:w="2180" w:type="pct"/>
            <w:tcBorders>
              <w:top w:val="nil"/>
              <w:left w:val="nil"/>
              <w:bottom w:val="nil"/>
              <w:right w:val="nil"/>
            </w:tcBorders>
            <w:shd w:val="clear" w:color="auto" w:fill="auto"/>
            <w:noWrap/>
          </w:tcPr>
          <w:p w:rsidR="00063391" w:rsidRPr="006D2D0A" w:rsidRDefault="00063391" w:rsidP="00704CC0">
            <w:pPr>
              <w:keepNext/>
              <w:keepLines/>
              <w:tabs>
                <w:tab w:val="left" w:pos="567"/>
                <w:tab w:val="left" w:pos="1134"/>
                <w:tab w:val="left" w:pos="1701"/>
                <w:tab w:val="left" w:pos="2268"/>
              </w:tabs>
              <w:rPr>
                <w:rFonts w:cs="Arial"/>
                <w:b/>
                <w:bCs/>
                <w:sz w:val="18"/>
                <w:szCs w:val="18"/>
              </w:rPr>
            </w:pPr>
            <w:r w:rsidRPr="006D2D0A">
              <w:rPr>
                <w:rFonts w:cs="Arial"/>
                <w:b/>
                <w:bCs/>
                <w:sz w:val="18"/>
                <w:szCs w:val="18"/>
              </w:rPr>
              <w:t xml:space="preserve">Non-current </w:t>
            </w:r>
          </w:p>
        </w:tc>
        <w:tc>
          <w:tcPr>
            <w:tcW w:w="478" w:type="pct"/>
            <w:tcBorders>
              <w:top w:val="nil"/>
              <w:left w:val="nil"/>
              <w:bottom w:val="nil"/>
              <w:right w:val="nil"/>
            </w:tcBorders>
            <w:shd w:val="clear" w:color="auto" w:fill="auto"/>
            <w:noWrap/>
          </w:tcPr>
          <w:p w:rsidR="00063391" w:rsidRPr="006D2D0A" w:rsidRDefault="00063391" w:rsidP="00704CC0">
            <w:pPr>
              <w:keepNext/>
              <w:keepLines/>
              <w:tabs>
                <w:tab w:val="left" w:pos="567"/>
                <w:tab w:val="left" w:pos="1134"/>
                <w:tab w:val="left" w:pos="1701"/>
                <w:tab w:val="left" w:pos="2268"/>
              </w:tabs>
              <w:rPr>
                <w:rFonts w:cs="Arial"/>
                <w:sz w:val="18"/>
                <w:szCs w:val="18"/>
              </w:rPr>
            </w:pPr>
          </w:p>
        </w:tc>
        <w:tc>
          <w:tcPr>
            <w:tcW w:w="1077" w:type="pct"/>
            <w:tcBorders>
              <w:top w:val="nil"/>
              <w:left w:val="nil"/>
              <w:right w:val="nil"/>
            </w:tcBorders>
            <w:shd w:val="clear" w:color="auto" w:fill="auto"/>
            <w:noWrap/>
            <w:vAlign w:val="bottom"/>
          </w:tcPr>
          <w:p w:rsidR="00063391" w:rsidRPr="006D2D0A" w:rsidRDefault="00063391" w:rsidP="00704CC0">
            <w:pPr>
              <w:keepNext/>
              <w:keepLines/>
              <w:tabs>
                <w:tab w:val="left" w:pos="567"/>
                <w:tab w:val="left" w:pos="1134"/>
                <w:tab w:val="left" w:pos="1701"/>
                <w:tab w:val="left" w:pos="2268"/>
              </w:tabs>
              <w:jc w:val="right"/>
              <w:rPr>
                <w:rFonts w:cs="Arial"/>
                <w:b/>
                <w:bCs/>
                <w:sz w:val="18"/>
                <w:szCs w:val="18"/>
              </w:rPr>
            </w:pPr>
          </w:p>
        </w:tc>
        <w:tc>
          <w:tcPr>
            <w:tcW w:w="213" w:type="pct"/>
            <w:tcBorders>
              <w:top w:val="nil"/>
              <w:left w:val="nil"/>
              <w:right w:val="nil"/>
            </w:tcBorders>
            <w:shd w:val="clear" w:color="auto" w:fill="auto"/>
            <w:noWrap/>
            <w:vAlign w:val="bottom"/>
          </w:tcPr>
          <w:p w:rsidR="00063391" w:rsidRPr="006D2D0A" w:rsidRDefault="00063391" w:rsidP="00704CC0">
            <w:pPr>
              <w:keepNext/>
              <w:keepLines/>
              <w:tabs>
                <w:tab w:val="left" w:pos="567"/>
                <w:tab w:val="left" w:pos="1134"/>
                <w:tab w:val="left" w:pos="1701"/>
                <w:tab w:val="left" w:pos="2268"/>
              </w:tabs>
              <w:jc w:val="right"/>
              <w:rPr>
                <w:rFonts w:cs="Arial"/>
                <w:sz w:val="18"/>
                <w:szCs w:val="18"/>
              </w:rPr>
            </w:pPr>
          </w:p>
        </w:tc>
        <w:tc>
          <w:tcPr>
            <w:tcW w:w="1052" w:type="pct"/>
            <w:tcBorders>
              <w:top w:val="nil"/>
              <w:left w:val="nil"/>
              <w:right w:val="nil"/>
            </w:tcBorders>
            <w:shd w:val="clear" w:color="auto" w:fill="auto"/>
            <w:noWrap/>
            <w:vAlign w:val="bottom"/>
          </w:tcPr>
          <w:p w:rsidR="00063391" w:rsidRPr="006D2D0A" w:rsidRDefault="00063391" w:rsidP="00704CC0">
            <w:pPr>
              <w:keepNext/>
              <w:keepLines/>
              <w:tabs>
                <w:tab w:val="left" w:pos="567"/>
                <w:tab w:val="left" w:pos="1134"/>
                <w:tab w:val="left" w:pos="1701"/>
                <w:tab w:val="left" w:pos="2268"/>
              </w:tabs>
              <w:jc w:val="right"/>
              <w:rPr>
                <w:rFonts w:cs="Arial"/>
                <w:bCs/>
                <w:sz w:val="18"/>
                <w:szCs w:val="18"/>
              </w:rPr>
            </w:pPr>
          </w:p>
        </w:tc>
      </w:tr>
      <w:tr w:rsidR="004701F2" w:rsidRPr="006D2D0A" w:rsidTr="00562F9C">
        <w:trPr>
          <w:trHeight w:val="20"/>
        </w:trPr>
        <w:tc>
          <w:tcPr>
            <w:tcW w:w="2180" w:type="pct"/>
            <w:tcBorders>
              <w:top w:val="nil"/>
              <w:left w:val="nil"/>
              <w:bottom w:val="nil"/>
              <w:right w:val="nil"/>
            </w:tcBorders>
            <w:shd w:val="clear" w:color="auto" w:fill="auto"/>
            <w:noWrap/>
          </w:tcPr>
          <w:p w:rsidR="004701F2" w:rsidRPr="006D2D0A" w:rsidRDefault="004701F2" w:rsidP="00704CC0">
            <w:pPr>
              <w:keepNext/>
              <w:keepLines/>
              <w:tabs>
                <w:tab w:val="left" w:pos="567"/>
                <w:tab w:val="left" w:pos="1134"/>
                <w:tab w:val="left" w:pos="1701"/>
                <w:tab w:val="left" w:pos="2268"/>
              </w:tabs>
              <w:rPr>
                <w:rFonts w:cs="Arial"/>
                <w:b/>
                <w:bCs/>
                <w:sz w:val="18"/>
                <w:szCs w:val="18"/>
              </w:rPr>
            </w:pPr>
            <w:r w:rsidRPr="006D2D0A">
              <w:rPr>
                <w:rFonts w:cs="Arial"/>
                <w:sz w:val="18"/>
                <w:szCs w:val="18"/>
              </w:rPr>
              <w:t>Investments in subsidiaries</w:t>
            </w:r>
          </w:p>
        </w:tc>
        <w:tc>
          <w:tcPr>
            <w:tcW w:w="478" w:type="pct"/>
            <w:tcBorders>
              <w:top w:val="nil"/>
              <w:left w:val="nil"/>
              <w:bottom w:val="nil"/>
              <w:right w:val="nil"/>
            </w:tcBorders>
            <w:shd w:val="clear" w:color="auto" w:fill="auto"/>
            <w:noWrap/>
          </w:tcPr>
          <w:p w:rsidR="004701F2" w:rsidRPr="006D2D0A" w:rsidRDefault="004701F2" w:rsidP="00704CC0">
            <w:pPr>
              <w:keepNext/>
              <w:keepLines/>
              <w:tabs>
                <w:tab w:val="left" w:pos="567"/>
                <w:tab w:val="left" w:pos="1134"/>
                <w:tab w:val="left" w:pos="1701"/>
                <w:tab w:val="left" w:pos="2268"/>
              </w:tabs>
              <w:rPr>
                <w:rFonts w:cs="Arial"/>
                <w:sz w:val="18"/>
                <w:szCs w:val="18"/>
              </w:rPr>
            </w:pPr>
            <w:r w:rsidRPr="006D2D0A">
              <w:rPr>
                <w:rFonts w:cs="Arial"/>
                <w:sz w:val="18"/>
                <w:szCs w:val="18"/>
              </w:rPr>
              <w:t>12</w:t>
            </w:r>
          </w:p>
        </w:tc>
        <w:tc>
          <w:tcPr>
            <w:tcW w:w="1077" w:type="pct"/>
            <w:tcBorders>
              <w:top w:val="nil"/>
              <w:left w:val="nil"/>
              <w:right w:val="nil"/>
            </w:tcBorders>
            <w:shd w:val="clear" w:color="auto" w:fill="auto"/>
            <w:noWrap/>
            <w:vAlign w:val="bottom"/>
          </w:tcPr>
          <w:p w:rsidR="004701F2" w:rsidRPr="006D2D0A" w:rsidRDefault="004701F2"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2,315</w:t>
            </w:r>
          </w:p>
        </w:tc>
        <w:tc>
          <w:tcPr>
            <w:tcW w:w="213" w:type="pct"/>
            <w:tcBorders>
              <w:top w:val="nil"/>
              <w:left w:val="nil"/>
              <w:right w:val="nil"/>
            </w:tcBorders>
            <w:shd w:val="clear" w:color="auto" w:fill="auto"/>
            <w:noWrap/>
            <w:vAlign w:val="bottom"/>
          </w:tcPr>
          <w:p w:rsidR="004701F2" w:rsidRPr="006D2D0A" w:rsidRDefault="004701F2" w:rsidP="00704CC0">
            <w:pPr>
              <w:keepNext/>
              <w:keepLines/>
              <w:tabs>
                <w:tab w:val="left" w:pos="567"/>
                <w:tab w:val="left" w:pos="1134"/>
                <w:tab w:val="left" w:pos="1701"/>
                <w:tab w:val="left" w:pos="2268"/>
              </w:tabs>
              <w:jc w:val="right"/>
              <w:rPr>
                <w:rFonts w:cs="Arial"/>
                <w:sz w:val="18"/>
                <w:szCs w:val="18"/>
              </w:rPr>
            </w:pPr>
          </w:p>
        </w:tc>
        <w:tc>
          <w:tcPr>
            <w:tcW w:w="1052" w:type="pct"/>
            <w:tcBorders>
              <w:top w:val="nil"/>
              <w:left w:val="nil"/>
              <w:right w:val="nil"/>
            </w:tcBorders>
            <w:shd w:val="clear" w:color="auto" w:fill="auto"/>
            <w:noWrap/>
            <w:vAlign w:val="bottom"/>
          </w:tcPr>
          <w:p w:rsidR="004701F2" w:rsidRPr="006D2D0A" w:rsidRDefault="004701F2" w:rsidP="00704CC0">
            <w:pPr>
              <w:keepNext/>
              <w:keepLines/>
              <w:tabs>
                <w:tab w:val="left" w:pos="567"/>
                <w:tab w:val="left" w:pos="1134"/>
                <w:tab w:val="left" w:pos="1701"/>
                <w:tab w:val="left" w:pos="2268"/>
              </w:tabs>
              <w:jc w:val="right"/>
              <w:rPr>
                <w:rFonts w:cs="Arial"/>
                <w:bCs/>
                <w:sz w:val="18"/>
                <w:szCs w:val="18"/>
              </w:rPr>
            </w:pPr>
            <w:r w:rsidRPr="006D2D0A">
              <w:rPr>
                <w:rFonts w:cs="Arial"/>
                <w:sz w:val="18"/>
                <w:szCs w:val="18"/>
              </w:rPr>
              <w:t>5,970</w:t>
            </w:r>
          </w:p>
        </w:tc>
      </w:tr>
      <w:tr w:rsidR="004B5A70" w:rsidRPr="006D2D0A" w:rsidTr="00562F9C">
        <w:trPr>
          <w:trHeight w:val="20"/>
        </w:trPr>
        <w:tc>
          <w:tcPr>
            <w:tcW w:w="2180"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sz w:val="18"/>
                <w:szCs w:val="18"/>
              </w:rPr>
            </w:pPr>
            <w:r w:rsidRPr="006D2D0A">
              <w:rPr>
                <w:rFonts w:cs="Arial"/>
                <w:sz w:val="18"/>
                <w:szCs w:val="18"/>
              </w:rPr>
              <w:t>Loans to subsidiaries</w:t>
            </w:r>
          </w:p>
        </w:tc>
        <w:tc>
          <w:tcPr>
            <w:tcW w:w="478"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sz w:val="18"/>
                <w:szCs w:val="18"/>
              </w:rPr>
            </w:pPr>
            <w:r w:rsidRPr="006D2D0A">
              <w:rPr>
                <w:rFonts w:cs="Arial"/>
                <w:sz w:val="18"/>
                <w:szCs w:val="18"/>
              </w:rPr>
              <w:t>13</w:t>
            </w:r>
          </w:p>
        </w:tc>
        <w:tc>
          <w:tcPr>
            <w:tcW w:w="1077" w:type="pct"/>
            <w:tcBorders>
              <w:left w:val="nil"/>
              <w:bottom w:val="single" w:sz="4" w:space="0" w:color="auto"/>
              <w:right w:val="nil"/>
            </w:tcBorders>
            <w:shd w:val="clear" w:color="auto" w:fill="auto"/>
            <w:noWrap/>
            <w:vAlign w:val="bottom"/>
          </w:tcPr>
          <w:p w:rsidR="004B5A70" w:rsidRPr="006D2D0A" w:rsidRDefault="00F81E40" w:rsidP="00704CC0">
            <w:pPr>
              <w:keepNext/>
              <w:keepLines/>
              <w:tabs>
                <w:tab w:val="left" w:pos="567"/>
                <w:tab w:val="left" w:pos="1134"/>
                <w:tab w:val="left" w:pos="1701"/>
                <w:tab w:val="left" w:pos="2268"/>
              </w:tabs>
              <w:jc w:val="right"/>
              <w:rPr>
                <w:rFonts w:cs="Arial"/>
                <w:b/>
                <w:sz w:val="18"/>
                <w:szCs w:val="18"/>
              </w:rPr>
            </w:pPr>
            <w:r w:rsidRPr="006D2D0A">
              <w:rPr>
                <w:rFonts w:cs="Arial"/>
                <w:b/>
                <w:sz w:val="18"/>
                <w:szCs w:val="18"/>
              </w:rPr>
              <w:t>5,047</w:t>
            </w:r>
          </w:p>
        </w:tc>
        <w:tc>
          <w:tcPr>
            <w:tcW w:w="213" w:type="pct"/>
            <w:tcBorders>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b/>
                <w:bCs/>
                <w:color w:val="FF0000"/>
                <w:sz w:val="18"/>
                <w:szCs w:val="18"/>
              </w:rPr>
            </w:pPr>
          </w:p>
        </w:tc>
        <w:tc>
          <w:tcPr>
            <w:tcW w:w="1052" w:type="pct"/>
            <w:tcBorders>
              <w:left w:val="nil"/>
              <w:bottom w:val="single" w:sz="4" w:space="0" w:color="auto"/>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sz w:val="18"/>
                <w:szCs w:val="18"/>
              </w:rPr>
            </w:pPr>
            <w:r w:rsidRPr="006D2D0A">
              <w:rPr>
                <w:rFonts w:cs="Arial"/>
                <w:sz w:val="18"/>
                <w:szCs w:val="18"/>
              </w:rPr>
              <w:t>7,814</w:t>
            </w:r>
          </w:p>
        </w:tc>
      </w:tr>
      <w:tr w:rsidR="004B5A70" w:rsidRPr="006D2D0A" w:rsidTr="00562F9C">
        <w:trPr>
          <w:trHeight w:val="20"/>
        </w:trPr>
        <w:tc>
          <w:tcPr>
            <w:tcW w:w="2180"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b/>
                <w:bCs/>
                <w:sz w:val="18"/>
                <w:szCs w:val="18"/>
              </w:rPr>
            </w:pPr>
          </w:p>
        </w:tc>
        <w:tc>
          <w:tcPr>
            <w:tcW w:w="478"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outlineLvl w:val="1"/>
              <w:rPr>
                <w:rFonts w:cs="Arial"/>
                <w:sz w:val="18"/>
                <w:szCs w:val="18"/>
              </w:rPr>
            </w:pPr>
          </w:p>
        </w:tc>
        <w:tc>
          <w:tcPr>
            <w:tcW w:w="1077" w:type="pct"/>
            <w:tcBorders>
              <w:top w:val="nil"/>
              <w:left w:val="nil"/>
              <w:bottom w:val="nil"/>
              <w:right w:val="nil"/>
            </w:tcBorders>
            <w:shd w:val="clear" w:color="auto" w:fill="auto"/>
            <w:noWrap/>
            <w:vAlign w:val="bottom"/>
          </w:tcPr>
          <w:p w:rsidR="004B5A70" w:rsidRPr="006D2D0A" w:rsidRDefault="004701F2" w:rsidP="00704CC0">
            <w:pPr>
              <w:keepNext/>
              <w:keepLines/>
              <w:tabs>
                <w:tab w:val="left" w:pos="567"/>
                <w:tab w:val="left" w:pos="1134"/>
                <w:tab w:val="left" w:pos="1701"/>
                <w:tab w:val="left" w:pos="2268"/>
              </w:tabs>
              <w:jc w:val="right"/>
              <w:rPr>
                <w:rFonts w:cs="Arial"/>
                <w:b/>
                <w:sz w:val="18"/>
                <w:szCs w:val="18"/>
              </w:rPr>
            </w:pPr>
            <w:r w:rsidRPr="006D2D0A">
              <w:rPr>
                <w:rFonts w:cs="Arial"/>
                <w:b/>
                <w:sz w:val="18"/>
                <w:szCs w:val="18"/>
              </w:rPr>
              <w:t>7</w:t>
            </w:r>
            <w:r w:rsidR="00F81E40" w:rsidRPr="006D2D0A">
              <w:rPr>
                <w:rFonts w:cs="Arial"/>
                <w:b/>
                <w:sz w:val="18"/>
                <w:szCs w:val="18"/>
              </w:rPr>
              <w:t>,</w:t>
            </w:r>
            <w:r w:rsidRPr="006D2D0A">
              <w:rPr>
                <w:rFonts w:cs="Arial"/>
                <w:b/>
                <w:sz w:val="18"/>
                <w:szCs w:val="18"/>
              </w:rPr>
              <w:t>362</w:t>
            </w:r>
          </w:p>
        </w:tc>
        <w:tc>
          <w:tcPr>
            <w:tcW w:w="213"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b/>
                <w:sz w:val="18"/>
                <w:szCs w:val="18"/>
              </w:rPr>
            </w:pPr>
          </w:p>
        </w:tc>
        <w:tc>
          <w:tcPr>
            <w:tcW w:w="1052" w:type="pct"/>
            <w:tcBorders>
              <w:top w:val="nil"/>
              <w:left w:val="nil"/>
              <w:bottom w:val="nil"/>
              <w:right w:val="nil"/>
            </w:tcBorders>
            <w:shd w:val="clear" w:color="auto" w:fill="auto"/>
            <w:noWrap/>
            <w:vAlign w:val="bottom"/>
          </w:tcPr>
          <w:p w:rsidR="004B5A70" w:rsidRPr="006D2D0A" w:rsidRDefault="004701F2" w:rsidP="00704CC0">
            <w:pPr>
              <w:keepNext/>
              <w:keepLines/>
              <w:tabs>
                <w:tab w:val="left" w:pos="567"/>
                <w:tab w:val="left" w:pos="1134"/>
                <w:tab w:val="left" w:pos="1701"/>
                <w:tab w:val="left" w:pos="2268"/>
              </w:tabs>
              <w:jc w:val="right"/>
              <w:rPr>
                <w:rFonts w:cs="Arial"/>
                <w:sz w:val="18"/>
                <w:szCs w:val="18"/>
              </w:rPr>
            </w:pPr>
            <w:r w:rsidRPr="006D2D0A">
              <w:rPr>
                <w:rFonts w:cs="Arial"/>
                <w:sz w:val="18"/>
                <w:szCs w:val="18"/>
              </w:rPr>
              <w:t>13</w:t>
            </w:r>
            <w:r w:rsidR="004B5A70" w:rsidRPr="006D2D0A">
              <w:rPr>
                <w:rFonts w:cs="Arial"/>
                <w:sz w:val="18"/>
                <w:szCs w:val="18"/>
              </w:rPr>
              <w:t>,</w:t>
            </w:r>
            <w:r w:rsidRPr="006D2D0A">
              <w:rPr>
                <w:rFonts w:cs="Arial"/>
                <w:sz w:val="18"/>
                <w:szCs w:val="18"/>
              </w:rPr>
              <w:t>784</w:t>
            </w:r>
          </w:p>
        </w:tc>
      </w:tr>
      <w:tr w:rsidR="004B5A70" w:rsidRPr="006D2D0A" w:rsidTr="00562F9C">
        <w:trPr>
          <w:trHeight w:val="20"/>
        </w:trPr>
        <w:tc>
          <w:tcPr>
            <w:tcW w:w="2180"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sz w:val="18"/>
                <w:szCs w:val="18"/>
              </w:rPr>
            </w:pPr>
            <w:r w:rsidRPr="006D2D0A">
              <w:rPr>
                <w:rFonts w:cs="Arial"/>
                <w:b/>
                <w:bCs/>
                <w:sz w:val="18"/>
                <w:szCs w:val="18"/>
              </w:rPr>
              <w:t xml:space="preserve">Current </w:t>
            </w:r>
          </w:p>
        </w:tc>
        <w:tc>
          <w:tcPr>
            <w:tcW w:w="478"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sz w:val="18"/>
                <w:szCs w:val="18"/>
                <w:highlight w:val="yellow"/>
              </w:rPr>
            </w:pPr>
          </w:p>
        </w:tc>
        <w:tc>
          <w:tcPr>
            <w:tcW w:w="1077"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b/>
                <w:sz w:val="18"/>
                <w:szCs w:val="18"/>
              </w:rPr>
            </w:pPr>
          </w:p>
        </w:tc>
        <w:tc>
          <w:tcPr>
            <w:tcW w:w="213"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sz w:val="18"/>
                <w:szCs w:val="18"/>
              </w:rPr>
            </w:pPr>
          </w:p>
        </w:tc>
        <w:tc>
          <w:tcPr>
            <w:tcW w:w="1052"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sz w:val="18"/>
                <w:szCs w:val="18"/>
              </w:rPr>
            </w:pPr>
          </w:p>
        </w:tc>
      </w:tr>
      <w:tr w:rsidR="004B5A70" w:rsidRPr="006D2D0A" w:rsidTr="00562F9C">
        <w:trPr>
          <w:trHeight w:val="20"/>
        </w:trPr>
        <w:tc>
          <w:tcPr>
            <w:tcW w:w="2180"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bCs/>
                <w:sz w:val="18"/>
                <w:szCs w:val="18"/>
              </w:rPr>
            </w:pPr>
            <w:r w:rsidRPr="006D2D0A">
              <w:rPr>
                <w:rFonts w:cs="Arial"/>
                <w:bCs/>
                <w:sz w:val="18"/>
                <w:szCs w:val="18"/>
              </w:rPr>
              <w:t>Loans to subsidiaries</w:t>
            </w:r>
          </w:p>
        </w:tc>
        <w:tc>
          <w:tcPr>
            <w:tcW w:w="478"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sz w:val="18"/>
                <w:szCs w:val="18"/>
              </w:rPr>
            </w:pPr>
            <w:r w:rsidRPr="006D2D0A">
              <w:rPr>
                <w:rFonts w:cs="Arial"/>
                <w:sz w:val="18"/>
                <w:szCs w:val="18"/>
              </w:rPr>
              <w:t>13</w:t>
            </w:r>
          </w:p>
        </w:tc>
        <w:tc>
          <w:tcPr>
            <w:tcW w:w="1077" w:type="pct"/>
            <w:tcBorders>
              <w:top w:val="nil"/>
              <w:left w:val="nil"/>
              <w:bottom w:val="nil"/>
              <w:right w:val="nil"/>
            </w:tcBorders>
            <w:shd w:val="clear" w:color="auto" w:fill="auto"/>
            <w:noWrap/>
            <w:vAlign w:val="bottom"/>
          </w:tcPr>
          <w:p w:rsidR="004B5A70" w:rsidRPr="006D2D0A" w:rsidRDefault="00B63AB3" w:rsidP="00704CC0">
            <w:pPr>
              <w:keepNext/>
              <w:keepLines/>
              <w:tabs>
                <w:tab w:val="left" w:pos="567"/>
                <w:tab w:val="left" w:pos="1134"/>
                <w:tab w:val="left" w:pos="1701"/>
                <w:tab w:val="left" w:pos="2268"/>
              </w:tabs>
              <w:jc w:val="right"/>
              <w:rPr>
                <w:rFonts w:cs="Arial"/>
                <w:b/>
                <w:sz w:val="18"/>
                <w:szCs w:val="18"/>
              </w:rPr>
            </w:pPr>
            <w:r w:rsidRPr="006D2D0A">
              <w:rPr>
                <w:rFonts w:cs="Arial"/>
                <w:b/>
                <w:sz w:val="18"/>
                <w:szCs w:val="18"/>
              </w:rPr>
              <w:t>-</w:t>
            </w:r>
          </w:p>
        </w:tc>
        <w:tc>
          <w:tcPr>
            <w:tcW w:w="213"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sz w:val="18"/>
                <w:szCs w:val="18"/>
              </w:rPr>
            </w:pPr>
          </w:p>
        </w:tc>
        <w:tc>
          <w:tcPr>
            <w:tcW w:w="1052"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sz w:val="18"/>
                <w:szCs w:val="18"/>
              </w:rPr>
            </w:pPr>
            <w:r w:rsidRPr="006D2D0A">
              <w:rPr>
                <w:rFonts w:cs="Arial"/>
                <w:sz w:val="18"/>
                <w:szCs w:val="18"/>
              </w:rPr>
              <w:t>4,954</w:t>
            </w:r>
          </w:p>
        </w:tc>
      </w:tr>
      <w:tr w:rsidR="004B5A70" w:rsidRPr="006D2D0A" w:rsidTr="00562F9C">
        <w:trPr>
          <w:trHeight w:val="20"/>
        </w:trPr>
        <w:tc>
          <w:tcPr>
            <w:tcW w:w="2180"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sz w:val="18"/>
                <w:szCs w:val="18"/>
              </w:rPr>
            </w:pPr>
            <w:r w:rsidRPr="006D2D0A">
              <w:rPr>
                <w:rFonts w:cs="Arial"/>
                <w:sz w:val="18"/>
                <w:szCs w:val="18"/>
              </w:rPr>
              <w:t>Receivables</w:t>
            </w:r>
          </w:p>
        </w:tc>
        <w:tc>
          <w:tcPr>
            <w:tcW w:w="478"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sz w:val="18"/>
                <w:szCs w:val="18"/>
              </w:rPr>
            </w:pPr>
            <w:r w:rsidRPr="006D2D0A">
              <w:rPr>
                <w:rFonts w:cs="Arial"/>
                <w:sz w:val="18"/>
                <w:szCs w:val="18"/>
              </w:rPr>
              <w:t>15</w:t>
            </w:r>
          </w:p>
        </w:tc>
        <w:tc>
          <w:tcPr>
            <w:tcW w:w="1077" w:type="pct"/>
            <w:tcBorders>
              <w:top w:val="nil"/>
              <w:left w:val="nil"/>
              <w:bottom w:val="nil"/>
              <w:right w:val="nil"/>
            </w:tcBorders>
            <w:shd w:val="clear" w:color="auto" w:fill="auto"/>
            <w:noWrap/>
            <w:vAlign w:val="bottom"/>
          </w:tcPr>
          <w:p w:rsidR="004B5A70" w:rsidRPr="006D2D0A" w:rsidRDefault="00B63AB3" w:rsidP="00704CC0">
            <w:pPr>
              <w:keepNext/>
              <w:keepLines/>
              <w:tabs>
                <w:tab w:val="left" w:pos="567"/>
                <w:tab w:val="left" w:pos="1134"/>
                <w:tab w:val="left" w:pos="1701"/>
                <w:tab w:val="left" w:pos="2268"/>
              </w:tabs>
              <w:jc w:val="right"/>
              <w:rPr>
                <w:rFonts w:cs="Arial"/>
                <w:b/>
                <w:sz w:val="18"/>
                <w:szCs w:val="18"/>
              </w:rPr>
            </w:pPr>
            <w:r w:rsidRPr="006D2D0A">
              <w:rPr>
                <w:rFonts w:cs="Arial"/>
                <w:b/>
                <w:sz w:val="18"/>
                <w:szCs w:val="18"/>
              </w:rPr>
              <w:t>-</w:t>
            </w:r>
          </w:p>
        </w:tc>
        <w:tc>
          <w:tcPr>
            <w:tcW w:w="213"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b/>
                <w:bCs/>
                <w:color w:val="FF0000"/>
                <w:sz w:val="18"/>
                <w:szCs w:val="18"/>
              </w:rPr>
            </w:pPr>
          </w:p>
        </w:tc>
        <w:tc>
          <w:tcPr>
            <w:tcW w:w="1052"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sz w:val="18"/>
                <w:szCs w:val="18"/>
              </w:rPr>
            </w:pPr>
            <w:r w:rsidRPr="006D2D0A">
              <w:rPr>
                <w:rFonts w:cs="Arial"/>
                <w:sz w:val="18"/>
                <w:szCs w:val="18"/>
              </w:rPr>
              <w:t>1</w:t>
            </w:r>
          </w:p>
        </w:tc>
      </w:tr>
      <w:tr w:rsidR="004B5A70" w:rsidRPr="006D2D0A" w:rsidTr="00562F9C">
        <w:trPr>
          <w:trHeight w:val="20"/>
        </w:trPr>
        <w:tc>
          <w:tcPr>
            <w:tcW w:w="2180"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sz w:val="18"/>
                <w:szCs w:val="18"/>
              </w:rPr>
            </w:pPr>
            <w:r w:rsidRPr="006D2D0A">
              <w:rPr>
                <w:rFonts w:cs="Arial"/>
                <w:sz w:val="18"/>
                <w:szCs w:val="18"/>
              </w:rPr>
              <w:t>Prepayments</w:t>
            </w:r>
          </w:p>
        </w:tc>
        <w:tc>
          <w:tcPr>
            <w:tcW w:w="478"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sz w:val="18"/>
                <w:szCs w:val="18"/>
              </w:rPr>
            </w:pPr>
          </w:p>
        </w:tc>
        <w:tc>
          <w:tcPr>
            <w:tcW w:w="1077" w:type="pct"/>
            <w:tcBorders>
              <w:top w:val="nil"/>
              <w:left w:val="nil"/>
              <w:bottom w:val="nil"/>
              <w:right w:val="nil"/>
            </w:tcBorders>
            <w:shd w:val="clear" w:color="auto" w:fill="auto"/>
            <w:noWrap/>
            <w:vAlign w:val="bottom"/>
          </w:tcPr>
          <w:p w:rsidR="004B5A70" w:rsidRPr="006D2D0A" w:rsidRDefault="00B63AB3" w:rsidP="00704CC0">
            <w:pPr>
              <w:keepNext/>
              <w:keepLines/>
              <w:tabs>
                <w:tab w:val="left" w:pos="567"/>
                <w:tab w:val="left" w:pos="1134"/>
                <w:tab w:val="left" w:pos="1701"/>
                <w:tab w:val="left" w:pos="2268"/>
              </w:tabs>
              <w:jc w:val="right"/>
              <w:rPr>
                <w:rFonts w:cs="Arial"/>
                <w:b/>
                <w:sz w:val="18"/>
                <w:szCs w:val="18"/>
              </w:rPr>
            </w:pPr>
            <w:r w:rsidRPr="006D2D0A">
              <w:rPr>
                <w:rFonts w:cs="Arial"/>
                <w:b/>
                <w:sz w:val="18"/>
                <w:szCs w:val="18"/>
              </w:rPr>
              <w:t>21</w:t>
            </w:r>
          </w:p>
        </w:tc>
        <w:tc>
          <w:tcPr>
            <w:tcW w:w="213"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b/>
                <w:bCs/>
                <w:color w:val="FF0000"/>
                <w:sz w:val="18"/>
                <w:szCs w:val="18"/>
              </w:rPr>
            </w:pPr>
          </w:p>
        </w:tc>
        <w:tc>
          <w:tcPr>
            <w:tcW w:w="1052"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sz w:val="18"/>
                <w:szCs w:val="18"/>
              </w:rPr>
            </w:pPr>
            <w:r w:rsidRPr="006D2D0A">
              <w:rPr>
                <w:rFonts w:cs="Arial"/>
                <w:sz w:val="18"/>
                <w:szCs w:val="18"/>
              </w:rPr>
              <w:t>14</w:t>
            </w:r>
          </w:p>
        </w:tc>
      </w:tr>
      <w:tr w:rsidR="004B5A70" w:rsidRPr="006D2D0A" w:rsidTr="00562F9C">
        <w:trPr>
          <w:trHeight w:val="20"/>
        </w:trPr>
        <w:tc>
          <w:tcPr>
            <w:tcW w:w="2180"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sz w:val="18"/>
                <w:szCs w:val="18"/>
              </w:rPr>
            </w:pPr>
            <w:r w:rsidRPr="006D2D0A">
              <w:rPr>
                <w:rFonts w:cs="Arial"/>
                <w:sz w:val="18"/>
                <w:szCs w:val="18"/>
              </w:rPr>
              <w:t>Cash and cash equivalents</w:t>
            </w:r>
          </w:p>
        </w:tc>
        <w:tc>
          <w:tcPr>
            <w:tcW w:w="478"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sz w:val="18"/>
                <w:szCs w:val="18"/>
              </w:rPr>
            </w:pPr>
            <w:r w:rsidRPr="006D2D0A">
              <w:rPr>
                <w:rFonts w:cs="Arial"/>
                <w:sz w:val="18"/>
                <w:szCs w:val="18"/>
              </w:rPr>
              <w:t>16</w:t>
            </w:r>
          </w:p>
        </w:tc>
        <w:tc>
          <w:tcPr>
            <w:tcW w:w="1077" w:type="pct"/>
            <w:tcBorders>
              <w:top w:val="nil"/>
              <w:left w:val="nil"/>
              <w:bottom w:val="nil"/>
              <w:right w:val="nil"/>
            </w:tcBorders>
            <w:shd w:val="clear" w:color="auto" w:fill="auto"/>
            <w:noWrap/>
            <w:vAlign w:val="bottom"/>
          </w:tcPr>
          <w:p w:rsidR="004B5A70" w:rsidRPr="006D2D0A" w:rsidRDefault="00B63AB3" w:rsidP="00704CC0">
            <w:pPr>
              <w:keepNext/>
              <w:keepLines/>
              <w:tabs>
                <w:tab w:val="left" w:pos="567"/>
                <w:tab w:val="left" w:pos="1134"/>
                <w:tab w:val="left" w:pos="1701"/>
                <w:tab w:val="left" w:pos="2268"/>
              </w:tabs>
              <w:jc w:val="right"/>
              <w:rPr>
                <w:rFonts w:cs="Arial"/>
                <w:b/>
                <w:sz w:val="18"/>
                <w:szCs w:val="18"/>
              </w:rPr>
            </w:pPr>
            <w:r w:rsidRPr="006D2D0A">
              <w:rPr>
                <w:rFonts w:cs="Arial"/>
                <w:b/>
                <w:sz w:val="18"/>
                <w:szCs w:val="18"/>
              </w:rPr>
              <w:t>815</w:t>
            </w:r>
          </w:p>
        </w:tc>
        <w:tc>
          <w:tcPr>
            <w:tcW w:w="213"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b/>
                <w:bCs/>
                <w:color w:val="FF0000"/>
                <w:sz w:val="18"/>
                <w:szCs w:val="18"/>
              </w:rPr>
            </w:pPr>
          </w:p>
        </w:tc>
        <w:tc>
          <w:tcPr>
            <w:tcW w:w="1052"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sz w:val="18"/>
                <w:szCs w:val="18"/>
              </w:rPr>
            </w:pPr>
            <w:r w:rsidRPr="006D2D0A">
              <w:rPr>
                <w:rFonts w:cs="Arial"/>
                <w:sz w:val="18"/>
                <w:szCs w:val="18"/>
              </w:rPr>
              <w:t>2,497</w:t>
            </w:r>
          </w:p>
        </w:tc>
      </w:tr>
      <w:tr w:rsidR="004B5A70" w:rsidRPr="006D2D0A" w:rsidTr="00562F9C">
        <w:trPr>
          <w:trHeight w:val="20"/>
        </w:trPr>
        <w:tc>
          <w:tcPr>
            <w:tcW w:w="2180"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b/>
                <w:bCs/>
                <w:sz w:val="18"/>
                <w:szCs w:val="18"/>
              </w:rPr>
            </w:pPr>
          </w:p>
        </w:tc>
        <w:tc>
          <w:tcPr>
            <w:tcW w:w="478"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outlineLvl w:val="1"/>
              <w:rPr>
                <w:rFonts w:cs="Arial"/>
                <w:b/>
                <w:bCs/>
                <w:sz w:val="18"/>
                <w:szCs w:val="18"/>
                <w:highlight w:val="yellow"/>
              </w:rPr>
            </w:pPr>
          </w:p>
        </w:tc>
        <w:tc>
          <w:tcPr>
            <w:tcW w:w="1077" w:type="pct"/>
            <w:tcBorders>
              <w:top w:val="single" w:sz="4" w:space="0" w:color="auto"/>
              <w:left w:val="nil"/>
              <w:bottom w:val="nil"/>
              <w:right w:val="nil"/>
            </w:tcBorders>
            <w:shd w:val="clear" w:color="auto" w:fill="auto"/>
            <w:noWrap/>
            <w:vAlign w:val="bottom"/>
          </w:tcPr>
          <w:p w:rsidR="004B5A70" w:rsidRPr="006D2D0A" w:rsidRDefault="00B63AB3"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836</w:t>
            </w:r>
          </w:p>
        </w:tc>
        <w:tc>
          <w:tcPr>
            <w:tcW w:w="213"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sz w:val="18"/>
                <w:szCs w:val="18"/>
              </w:rPr>
            </w:pPr>
          </w:p>
        </w:tc>
        <w:tc>
          <w:tcPr>
            <w:tcW w:w="1052" w:type="pct"/>
            <w:tcBorders>
              <w:top w:val="single" w:sz="4" w:space="0" w:color="auto"/>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7,466</w:t>
            </w:r>
          </w:p>
        </w:tc>
      </w:tr>
      <w:tr w:rsidR="004B5A70" w:rsidRPr="006D2D0A" w:rsidTr="00562F9C">
        <w:trPr>
          <w:trHeight w:val="20"/>
        </w:trPr>
        <w:tc>
          <w:tcPr>
            <w:tcW w:w="2180"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b/>
                <w:bCs/>
                <w:sz w:val="18"/>
                <w:szCs w:val="18"/>
              </w:rPr>
            </w:pPr>
          </w:p>
        </w:tc>
        <w:tc>
          <w:tcPr>
            <w:tcW w:w="478"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outlineLvl w:val="1"/>
              <w:rPr>
                <w:rFonts w:cs="Arial"/>
                <w:b/>
                <w:bCs/>
                <w:sz w:val="18"/>
                <w:szCs w:val="18"/>
                <w:highlight w:val="yellow"/>
              </w:rPr>
            </w:pPr>
          </w:p>
        </w:tc>
        <w:tc>
          <w:tcPr>
            <w:tcW w:w="1077"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b/>
                <w:bCs/>
                <w:sz w:val="18"/>
                <w:szCs w:val="18"/>
              </w:rPr>
            </w:pPr>
          </w:p>
        </w:tc>
        <w:tc>
          <w:tcPr>
            <w:tcW w:w="213"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sz w:val="18"/>
                <w:szCs w:val="18"/>
              </w:rPr>
            </w:pPr>
          </w:p>
        </w:tc>
        <w:tc>
          <w:tcPr>
            <w:tcW w:w="1052"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bCs/>
                <w:sz w:val="18"/>
                <w:szCs w:val="18"/>
              </w:rPr>
            </w:pPr>
          </w:p>
        </w:tc>
      </w:tr>
      <w:tr w:rsidR="004B5A70" w:rsidRPr="006D2D0A" w:rsidTr="00562F9C">
        <w:trPr>
          <w:trHeight w:val="20"/>
        </w:trPr>
        <w:tc>
          <w:tcPr>
            <w:tcW w:w="2180"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b/>
                <w:bCs/>
                <w:sz w:val="18"/>
                <w:szCs w:val="18"/>
              </w:rPr>
            </w:pPr>
            <w:r w:rsidRPr="006D2D0A">
              <w:rPr>
                <w:rFonts w:cs="Arial"/>
                <w:b/>
                <w:bCs/>
                <w:sz w:val="18"/>
                <w:szCs w:val="18"/>
              </w:rPr>
              <w:t>Total assets</w:t>
            </w:r>
          </w:p>
        </w:tc>
        <w:tc>
          <w:tcPr>
            <w:tcW w:w="478"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b/>
                <w:bCs/>
                <w:sz w:val="18"/>
                <w:szCs w:val="18"/>
                <w:highlight w:val="yellow"/>
              </w:rPr>
            </w:pPr>
          </w:p>
        </w:tc>
        <w:tc>
          <w:tcPr>
            <w:tcW w:w="1077" w:type="pct"/>
            <w:tcBorders>
              <w:top w:val="single" w:sz="4" w:space="0" w:color="auto"/>
              <w:left w:val="nil"/>
              <w:bottom w:val="single" w:sz="8" w:space="0" w:color="auto"/>
              <w:right w:val="nil"/>
            </w:tcBorders>
            <w:shd w:val="clear" w:color="auto" w:fill="auto"/>
            <w:noWrap/>
            <w:vAlign w:val="bottom"/>
          </w:tcPr>
          <w:p w:rsidR="004B5A70" w:rsidRPr="006D2D0A" w:rsidRDefault="00B63AB3"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8,</w:t>
            </w:r>
            <w:r w:rsidR="00F81E40" w:rsidRPr="006D2D0A">
              <w:rPr>
                <w:rFonts w:cs="Arial"/>
                <w:b/>
                <w:bCs/>
                <w:sz w:val="18"/>
                <w:szCs w:val="18"/>
              </w:rPr>
              <w:t>19</w:t>
            </w:r>
            <w:r w:rsidRPr="006D2D0A">
              <w:rPr>
                <w:rFonts w:cs="Arial"/>
                <w:b/>
                <w:bCs/>
                <w:sz w:val="18"/>
                <w:szCs w:val="18"/>
              </w:rPr>
              <w:t>8</w:t>
            </w:r>
          </w:p>
        </w:tc>
        <w:tc>
          <w:tcPr>
            <w:tcW w:w="213"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b/>
                <w:bCs/>
                <w:color w:val="FF0000"/>
                <w:sz w:val="18"/>
                <w:szCs w:val="18"/>
              </w:rPr>
            </w:pPr>
          </w:p>
        </w:tc>
        <w:tc>
          <w:tcPr>
            <w:tcW w:w="1052" w:type="pct"/>
            <w:tcBorders>
              <w:top w:val="single" w:sz="4" w:space="0" w:color="auto"/>
              <w:left w:val="nil"/>
              <w:bottom w:val="single" w:sz="8" w:space="0" w:color="auto"/>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21,250</w:t>
            </w:r>
          </w:p>
        </w:tc>
      </w:tr>
      <w:tr w:rsidR="004B5A70" w:rsidRPr="006D2D0A" w:rsidTr="00562F9C">
        <w:trPr>
          <w:trHeight w:val="20"/>
        </w:trPr>
        <w:tc>
          <w:tcPr>
            <w:tcW w:w="2180"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b/>
                <w:bCs/>
                <w:sz w:val="18"/>
                <w:szCs w:val="18"/>
              </w:rPr>
            </w:pPr>
            <w:r w:rsidRPr="006D2D0A">
              <w:rPr>
                <w:rFonts w:cs="Arial"/>
                <w:b/>
                <w:bCs/>
                <w:sz w:val="18"/>
                <w:szCs w:val="18"/>
              </w:rPr>
              <w:t>Current liabilities</w:t>
            </w:r>
          </w:p>
        </w:tc>
        <w:tc>
          <w:tcPr>
            <w:tcW w:w="478"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sz w:val="18"/>
                <w:szCs w:val="18"/>
              </w:rPr>
            </w:pPr>
          </w:p>
        </w:tc>
        <w:tc>
          <w:tcPr>
            <w:tcW w:w="1077"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b/>
                <w:sz w:val="18"/>
                <w:szCs w:val="18"/>
              </w:rPr>
            </w:pPr>
          </w:p>
        </w:tc>
        <w:tc>
          <w:tcPr>
            <w:tcW w:w="213"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sz w:val="18"/>
                <w:szCs w:val="18"/>
              </w:rPr>
            </w:pPr>
          </w:p>
        </w:tc>
        <w:tc>
          <w:tcPr>
            <w:tcW w:w="1052"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sz w:val="18"/>
                <w:szCs w:val="18"/>
              </w:rPr>
            </w:pPr>
          </w:p>
        </w:tc>
      </w:tr>
      <w:tr w:rsidR="004B5A70" w:rsidRPr="006D2D0A" w:rsidTr="00562F9C">
        <w:trPr>
          <w:trHeight w:val="20"/>
        </w:trPr>
        <w:tc>
          <w:tcPr>
            <w:tcW w:w="2180"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sz w:val="18"/>
                <w:szCs w:val="18"/>
              </w:rPr>
            </w:pPr>
            <w:r w:rsidRPr="006D2D0A">
              <w:rPr>
                <w:rFonts w:cs="Arial"/>
                <w:sz w:val="18"/>
                <w:szCs w:val="18"/>
              </w:rPr>
              <w:t>Payables</w:t>
            </w:r>
          </w:p>
        </w:tc>
        <w:tc>
          <w:tcPr>
            <w:tcW w:w="478"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sz w:val="18"/>
                <w:szCs w:val="18"/>
              </w:rPr>
            </w:pPr>
            <w:r w:rsidRPr="006D2D0A">
              <w:rPr>
                <w:rFonts w:cs="Arial"/>
                <w:sz w:val="18"/>
                <w:szCs w:val="18"/>
              </w:rPr>
              <w:t>17</w:t>
            </w:r>
          </w:p>
        </w:tc>
        <w:tc>
          <w:tcPr>
            <w:tcW w:w="1077" w:type="pct"/>
            <w:tcBorders>
              <w:top w:val="nil"/>
              <w:left w:val="nil"/>
              <w:bottom w:val="single" w:sz="4" w:space="0" w:color="auto"/>
              <w:right w:val="nil"/>
            </w:tcBorders>
            <w:shd w:val="clear" w:color="auto" w:fill="auto"/>
            <w:noWrap/>
            <w:vAlign w:val="bottom"/>
          </w:tcPr>
          <w:p w:rsidR="004B5A70" w:rsidRPr="006D2D0A" w:rsidRDefault="00B63AB3" w:rsidP="00704CC0">
            <w:pPr>
              <w:keepNext/>
              <w:keepLines/>
              <w:tabs>
                <w:tab w:val="left" w:pos="567"/>
                <w:tab w:val="left" w:pos="1134"/>
                <w:tab w:val="left" w:pos="1701"/>
                <w:tab w:val="left" w:pos="2268"/>
              </w:tabs>
              <w:jc w:val="right"/>
              <w:rPr>
                <w:rFonts w:cs="Arial"/>
                <w:b/>
                <w:sz w:val="18"/>
                <w:szCs w:val="18"/>
              </w:rPr>
            </w:pPr>
            <w:r w:rsidRPr="006D2D0A">
              <w:rPr>
                <w:rFonts w:cs="Arial"/>
                <w:b/>
                <w:sz w:val="18"/>
                <w:szCs w:val="18"/>
              </w:rPr>
              <w:t>77</w:t>
            </w:r>
          </w:p>
        </w:tc>
        <w:tc>
          <w:tcPr>
            <w:tcW w:w="213"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b/>
                <w:bCs/>
                <w:color w:val="FF0000"/>
                <w:sz w:val="18"/>
                <w:szCs w:val="18"/>
              </w:rPr>
            </w:pPr>
          </w:p>
        </w:tc>
        <w:tc>
          <w:tcPr>
            <w:tcW w:w="1052" w:type="pct"/>
            <w:tcBorders>
              <w:top w:val="nil"/>
              <w:left w:val="nil"/>
              <w:bottom w:val="single" w:sz="4" w:space="0" w:color="auto"/>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sz w:val="18"/>
                <w:szCs w:val="18"/>
              </w:rPr>
            </w:pPr>
            <w:r w:rsidRPr="006D2D0A">
              <w:rPr>
                <w:rFonts w:cs="Arial"/>
                <w:sz w:val="18"/>
                <w:szCs w:val="18"/>
              </w:rPr>
              <w:t>77</w:t>
            </w:r>
          </w:p>
        </w:tc>
      </w:tr>
      <w:tr w:rsidR="004B5A70" w:rsidRPr="006D2D0A" w:rsidTr="00562F9C">
        <w:trPr>
          <w:trHeight w:val="20"/>
        </w:trPr>
        <w:tc>
          <w:tcPr>
            <w:tcW w:w="2180"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b/>
                <w:bCs/>
                <w:sz w:val="18"/>
                <w:szCs w:val="18"/>
              </w:rPr>
            </w:pPr>
          </w:p>
        </w:tc>
        <w:tc>
          <w:tcPr>
            <w:tcW w:w="478"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sz w:val="18"/>
                <w:szCs w:val="18"/>
              </w:rPr>
            </w:pPr>
          </w:p>
        </w:tc>
        <w:tc>
          <w:tcPr>
            <w:tcW w:w="1077" w:type="pct"/>
            <w:tcBorders>
              <w:top w:val="single" w:sz="4" w:space="0" w:color="auto"/>
              <w:left w:val="nil"/>
              <w:bottom w:val="single" w:sz="4" w:space="0" w:color="auto"/>
              <w:right w:val="nil"/>
            </w:tcBorders>
            <w:shd w:val="clear" w:color="auto" w:fill="auto"/>
            <w:noWrap/>
            <w:vAlign w:val="bottom"/>
          </w:tcPr>
          <w:p w:rsidR="004B5A70" w:rsidRPr="006D2D0A" w:rsidRDefault="00B63AB3" w:rsidP="00704CC0">
            <w:pPr>
              <w:keepNext/>
              <w:keepLines/>
              <w:tabs>
                <w:tab w:val="left" w:pos="567"/>
                <w:tab w:val="left" w:pos="1134"/>
                <w:tab w:val="left" w:pos="1701"/>
                <w:tab w:val="left" w:pos="2268"/>
              </w:tabs>
              <w:jc w:val="right"/>
              <w:rPr>
                <w:rFonts w:cs="Arial"/>
                <w:b/>
                <w:sz w:val="18"/>
                <w:szCs w:val="18"/>
              </w:rPr>
            </w:pPr>
            <w:r w:rsidRPr="006D2D0A">
              <w:rPr>
                <w:rFonts w:cs="Arial"/>
                <w:b/>
                <w:sz w:val="18"/>
                <w:szCs w:val="18"/>
              </w:rPr>
              <w:t>77</w:t>
            </w:r>
          </w:p>
        </w:tc>
        <w:tc>
          <w:tcPr>
            <w:tcW w:w="213"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b/>
                <w:sz w:val="18"/>
                <w:szCs w:val="18"/>
              </w:rPr>
            </w:pPr>
          </w:p>
        </w:tc>
        <w:tc>
          <w:tcPr>
            <w:tcW w:w="1052" w:type="pct"/>
            <w:tcBorders>
              <w:top w:val="single" w:sz="4" w:space="0" w:color="auto"/>
              <w:left w:val="nil"/>
              <w:bottom w:val="single" w:sz="4" w:space="0" w:color="auto"/>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sz w:val="18"/>
                <w:szCs w:val="18"/>
              </w:rPr>
            </w:pPr>
            <w:r w:rsidRPr="006D2D0A">
              <w:rPr>
                <w:rFonts w:cs="Arial"/>
                <w:sz w:val="18"/>
                <w:szCs w:val="18"/>
              </w:rPr>
              <w:t>77</w:t>
            </w:r>
          </w:p>
        </w:tc>
      </w:tr>
      <w:tr w:rsidR="004B5A70" w:rsidRPr="006D2D0A" w:rsidTr="00562F9C">
        <w:trPr>
          <w:trHeight w:val="20"/>
        </w:trPr>
        <w:tc>
          <w:tcPr>
            <w:tcW w:w="2180"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b/>
                <w:bCs/>
                <w:sz w:val="18"/>
                <w:szCs w:val="18"/>
              </w:rPr>
            </w:pPr>
            <w:r w:rsidRPr="006D2D0A">
              <w:rPr>
                <w:rFonts w:cs="Arial"/>
                <w:b/>
                <w:bCs/>
                <w:sz w:val="18"/>
                <w:szCs w:val="18"/>
              </w:rPr>
              <w:t>Net assets</w:t>
            </w:r>
          </w:p>
        </w:tc>
        <w:tc>
          <w:tcPr>
            <w:tcW w:w="478"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b/>
                <w:bCs/>
                <w:sz w:val="18"/>
                <w:szCs w:val="18"/>
              </w:rPr>
            </w:pPr>
          </w:p>
        </w:tc>
        <w:tc>
          <w:tcPr>
            <w:tcW w:w="1077" w:type="pct"/>
            <w:tcBorders>
              <w:top w:val="nil"/>
              <w:left w:val="nil"/>
              <w:bottom w:val="single" w:sz="8" w:space="0" w:color="auto"/>
              <w:right w:val="nil"/>
            </w:tcBorders>
            <w:shd w:val="clear" w:color="auto" w:fill="auto"/>
            <w:noWrap/>
            <w:vAlign w:val="bottom"/>
          </w:tcPr>
          <w:p w:rsidR="004B5A70" w:rsidRPr="006D2D0A" w:rsidRDefault="00B63AB3"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8,1</w:t>
            </w:r>
            <w:r w:rsidR="00F81E40" w:rsidRPr="006D2D0A">
              <w:rPr>
                <w:rFonts w:cs="Arial"/>
                <w:b/>
                <w:bCs/>
                <w:sz w:val="18"/>
                <w:szCs w:val="18"/>
              </w:rPr>
              <w:t>2</w:t>
            </w:r>
            <w:r w:rsidRPr="006D2D0A">
              <w:rPr>
                <w:rFonts w:cs="Arial"/>
                <w:b/>
                <w:bCs/>
                <w:sz w:val="18"/>
                <w:szCs w:val="18"/>
              </w:rPr>
              <w:t>1</w:t>
            </w:r>
          </w:p>
        </w:tc>
        <w:tc>
          <w:tcPr>
            <w:tcW w:w="213"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b/>
                <w:bCs/>
                <w:color w:val="FF0000"/>
                <w:sz w:val="18"/>
                <w:szCs w:val="18"/>
              </w:rPr>
            </w:pPr>
          </w:p>
        </w:tc>
        <w:tc>
          <w:tcPr>
            <w:tcW w:w="1052" w:type="pct"/>
            <w:tcBorders>
              <w:top w:val="nil"/>
              <w:left w:val="nil"/>
              <w:bottom w:val="single" w:sz="8" w:space="0" w:color="auto"/>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21,173</w:t>
            </w:r>
          </w:p>
        </w:tc>
      </w:tr>
      <w:tr w:rsidR="004B5A70" w:rsidRPr="006D2D0A" w:rsidTr="00562F9C">
        <w:trPr>
          <w:trHeight w:val="20"/>
        </w:trPr>
        <w:tc>
          <w:tcPr>
            <w:tcW w:w="2180"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b/>
                <w:bCs/>
                <w:sz w:val="18"/>
                <w:szCs w:val="18"/>
              </w:rPr>
            </w:pPr>
            <w:r w:rsidRPr="006D2D0A">
              <w:rPr>
                <w:rFonts w:cs="Arial"/>
                <w:b/>
                <w:bCs/>
                <w:sz w:val="18"/>
                <w:szCs w:val="18"/>
              </w:rPr>
              <w:t>Equity</w:t>
            </w:r>
          </w:p>
        </w:tc>
        <w:tc>
          <w:tcPr>
            <w:tcW w:w="478"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sz w:val="18"/>
                <w:szCs w:val="18"/>
              </w:rPr>
            </w:pPr>
          </w:p>
        </w:tc>
        <w:tc>
          <w:tcPr>
            <w:tcW w:w="1077"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b/>
                <w:sz w:val="18"/>
                <w:szCs w:val="18"/>
              </w:rPr>
            </w:pPr>
          </w:p>
        </w:tc>
        <w:tc>
          <w:tcPr>
            <w:tcW w:w="213"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sz w:val="18"/>
                <w:szCs w:val="18"/>
              </w:rPr>
            </w:pPr>
          </w:p>
        </w:tc>
        <w:tc>
          <w:tcPr>
            <w:tcW w:w="1052"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sz w:val="18"/>
                <w:szCs w:val="18"/>
              </w:rPr>
            </w:pPr>
          </w:p>
        </w:tc>
      </w:tr>
      <w:tr w:rsidR="004B5A70" w:rsidRPr="006D2D0A" w:rsidTr="00562F9C">
        <w:trPr>
          <w:trHeight w:val="20"/>
        </w:trPr>
        <w:tc>
          <w:tcPr>
            <w:tcW w:w="2180"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sz w:val="18"/>
                <w:szCs w:val="18"/>
              </w:rPr>
            </w:pPr>
            <w:r w:rsidRPr="006D2D0A">
              <w:rPr>
                <w:rFonts w:cs="Arial"/>
                <w:sz w:val="18"/>
                <w:szCs w:val="18"/>
              </w:rPr>
              <w:t>Share capital</w:t>
            </w:r>
          </w:p>
        </w:tc>
        <w:tc>
          <w:tcPr>
            <w:tcW w:w="478"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sz w:val="18"/>
                <w:szCs w:val="18"/>
              </w:rPr>
            </w:pPr>
            <w:r w:rsidRPr="006D2D0A">
              <w:rPr>
                <w:rFonts w:cs="Arial"/>
                <w:sz w:val="18"/>
                <w:szCs w:val="18"/>
              </w:rPr>
              <w:t>18</w:t>
            </w:r>
          </w:p>
        </w:tc>
        <w:tc>
          <w:tcPr>
            <w:tcW w:w="1077" w:type="pct"/>
            <w:tcBorders>
              <w:top w:val="nil"/>
              <w:left w:val="nil"/>
              <w:bottom w:val="nil"/>
              <w:right w:val="nil"/>
            </w:tcBorders>
            <w:shd w:val="clear" w:color="auto" w:fill="auto"/>
            <w:noWrap/>
            <w:vAlign w:val="bottom"/>
          </w:tcPr>
          <w:p w:rsidR="004B5A70" w:rsidRPr="006D2D0A" w:rsidRDefault="00B63AB3" w:rsidP="00704CC0">
            <w:pPr>
              <w:keepNext/>
              <w:keepLines/>
              <w:tabs>
                <w:tab w:val="left" w:pos="567"/>
                <w:tab w:val="left" w:pos="1134"/>
                <w:tab w:val="left" w:pos="1701"/>
                <w:tab w:val="left" w:pos="2268"/>
              </w:tabs>
              <w:jc w:val="right"/>
              <w:rPr>
                <w:rFonts w:cs="Arial"/>
                <w:b/>
                <w:sz w:val="18"/>
                <w:szCs w:val="18"/>
              </w:rPr>
            </w:pPr>
            <w:r w:rsidRPr="006D2D0A">
              <w:rPr>
                <w:rFonts w:cs="Arial"/>
                <w:b/>
                <w:sz w:val="18"/>
                <w:szCs w:val="18"/>
              </w:rPr>
              <w:t>24</w:t>
            </w:r>
            <w:r w:rsidR="007B77AC" w:rsidRPr="006D2D0A">
              <w:rPr>
                <w:rFonts w:cs="Arial"/>
                <w:b/>
                <w:sz w:val="18"/>
                <w:szCs w:val="18"/>
              </w:rPr>
              <w:t>6</w:t>
            </w:r>
          </w:p>
        </w:tc>
        <w:tc>
          <w:tcPr>
            <w:tcW w:w="213"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b/>
                <w:bCs/>
                <w:color w:val="FF0000"/>
                <w:sz w:val="18"/>
                <w:szCs w:val="18"/>
              </w:rPr>
            </w:pPr>
          </w:p>
        </w:tc>
        <w:tc>
          <w:tcPr>
            <w:tcW w:w="1052"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sz w:val="18"/>
                <w:szCs w:val="18"/>
              </w:rPr>
            </w:pPr>
            <w:r w:rsidRPr="006D2D0A">
              <w:rPr>
                <w:rFonts w:cs="Arial"/>
                <w:sz w:val="18"/>
                <w:szCs w:val="18"/>
              </w:rPr>
              <w:t>477</w:t>
            </w:r>
          </w:p>
        </w:tc>
      </w:tr>
      <w:tr w:rsidR="004B5A70" w:rsidRPr="006D2D0A" w:rsidTr="00562F9C">
        <w:trPr>
          <w:trHeight w:val="20"/>
        </w:trPr>
        <w:tc>
          <w:tcPr>
            <w:tcW w:w="2180"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sz w:val="18"/>
                <w:szCs w:val="18"/>
              </w:rPr>
            </w:pPr>
            <w:r w:rsidRPr="006D2D0A">
              <w:rPr>
                <w:rFonts w:cs="Arial"/>
                <w:sz w:val="18"/>
                <w:szCs w:val="18"/>
              </w:rPr>
              <w:t>Share premium</w:t>
            </w:r>
          </w:p>
        </w:tc>
        <w:tc>
          <w:tcPr>
            <w:tcW w:w="478"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sz w:val="18"/>
                <w:szCs w:val="18"/>
              </w:rPr>
            </w:pPr>
          </w:p>
        </w:tc>
        <w:tc>
          <w:tcPr>
            <w:tcW w:w="1077" w:type="pct"/>
            <w:tcBorders>
              <w:top w:val="nil"/>
              <w:left w:val="nil"/>
              <w:bottom w:val="nil"/>
              <w:right w:val="nil"/>
            </w:tcBorders>
            <w:shd w:val="clear" w:color="auto" w:fill="auto"/>
            <w:noWrap/>
            <w:vAlign w:val="bottom"/>
          </w:tcPr>
          <w:p w:rsidR="004B5A70" w:rsidRPr="006D2D0A" w:rsidRDefault="00B63AB3" w:rsidP="00704CC0">
            <w:pPr>
              <w:keepNext/>
              <w:keepLines/>
              <w:tabs>
                <w:tab w:val="left" w:pos="567"/>
                <w:tab w:val="left" w:pos="1134"/>
                <w:tab w:val="left" w:pos="1701"/>
                <w:tab w:val="left" w:pos="2268"/>
              </w:tabs>
              <w:jc w:val="right"/>
              <w:rPr>
                <w:rFonts w:cs="Arial"/>
                <w:b/>
                <w:sz w:val="18"/>
                <w:szCs w:val="18"/>
              </w:rPr>
            </w:pPr>
            <w:r w:rsidRPr="006D2D0A">
              <w:rPr>
                <w:rFonts w:cs="Arial"/>
                <w:b/>
                <w:sz w:val="18"/>
                <w:szCs w:val="18"/>
              </w:rPr>
              <w:t>20,752</w:t>
            </w:r>
          </w:p>
        </w:tc>
        <w:tc>
          <w:tcPr>
            <w:tcW w:w="213"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b/>
                <w:bCs/>
                <w:color w:val="FF0000"/>
                <w:sz w:val="18"/>
                <w:szCs w:val="18"/>
              </w:rPr>
            </w:pPr>
          </w:p>
        </w:tc>
        <w:tc>
          <w:tcPr>
            <w:tcW w:w="1052"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sz w:val="18"/>
                <w:szCs w:val="18"/>
              </w:rPr>
            </w:pPr>
            <w:r w:rsidRPr="006D2D0A">
              <w:rPr>
                <w:rFonts w:cs="Arial"/>
                <w:sz w:val="18"/>
                <w:szCs w:val="18"/>
              </w:rPr>
              <w:t>20,752</w:t>
            </w:r>
          </w:p>
        </w:tc>
      </w:tr>
      <w:tr w:rsidR="004B5A70" w:rsidRPr="006D2D0A" w:rsidTr="00562F9C">
        <w:trPr>
          <w:trHeight w:val="20"/>
        </w:trPr>
        <w:tc>
          <w:tcPr>
            <w:tcW w:w="2180"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sz w:val="18"/>
                <w:szCs w:val="18"/>
              </w:rPr>
            </w:pPr>
            <w:r w:rsidRPr="006D2D0A">
              <w:rPr>
                <w:rFonts w:cs="Arial"/>
                <w:sz w:val="18"/>
                <w:szCs w:val="18"/>
              </w:rPr>
              <w:t>Distributable capital reserve</w:t>
            </w:r>
          </w:p>
        </w:tc>
        <w:tc>
          <w:tcPr>
            <w:tcW w:w="478"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sz w:val="18"/>
                <w:szCs w:val="18"/>
              </w:rPr>
            </w:pPr>
          </w:p>
        </w:tc>
        <w:tc>
          <w:tcPr>
            <w:tcW w:w="1077" w:type="pct"/>
            <w:tcBorders>
              <w:top w:val="nil"/>
              <w:left w:val="nil"/>
              <w:bottom w:val="nil"/>
              <w:right w:val="nil"/>
            </w:tcBorders>
            <w:shd w:val="clear" w:color="auto" w:fill="auto"/>
            <w:noWrap/>
            <w:vAlign w:val="bottom"/>
          </w:tcPr>
          <w:p w:rsidR="004B5A70" w:rsidRPr="006D2D0A" w:rsidRDefault="00B63AB3" w:rsidP="00704CC0">
            <w:pPr>
              <w:keepNext/>
              <w:keepLines/>
              <w:tabs>
                <w:tab w:val="left" w:pos="567"/>
                <w:tab w:val="left" w:pos="1134"/>
                <w:tab w:val="left" w:pos="1701"/>
                <w:tab w:val="left" w:pos="2268"/>
              </w:tabs>
              <w:jc w:val="right"/>
              <w:rPr>
                <w:rFonts w:cs="Arial"/>
                <w:b/>
                <w:sz w:val="18"/>
                <w:szCs w:val="18"/>
              </w:rPr>
            </w:pPr>
            <w:r w:rsidRPr="006D2D0A">
              <w:rPr>
                <w:rFonts w:cs="Arial"/>
                <w:b/>
                <w:sz w:val="18"/>
                <w:szCs w:val="18"/>
              </w:rPr>
              <w:t>17,462</w:t>
            </w:r>
          </w:p>
        </w:tc>
        <w:tc>
          <w:tcPr>
            <w:tcW w:w="213"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b/>
                <w:bCs/>
                <w:color w:val="FF0000"/>
                <w:sz w:val="18"/>
                <w:szCs w:val="18"/>
              </w:rPr>
            </w:pPr>
          </w:p>
        </w:tc>
        <w:tc>
          <w:tcPr>
            <w:tcW w:w="1052"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sz w:val="18"/>
                <w:szCs w:val="18"/>
              </w:rPr>
            </w:pPr>
            <w:r w:rsidRPr="006D2D0A">
              <w:rPr>
                <w:rFonts w:cs="Arial"/>
                <w:sz w:val="18"/>
                <w:szCs w:val="18"/>
              </w:rPr>
              <w:t>26,231</w:t>
            </w:r>
          </w:p>
        </w:tc>
      </w:tr>
      <w:tr w:rsidR="004B5A70" w:rsidRPr="006D2D0A" w:rsidTr="00562F9C">
        <w:trPr>
          <w:trHeight w:val="20"/>
        </w:trPr>
        <w:tc>
          <w:tcPr>
            <w:tcW w:w="2180"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ind w:right="153"/>
              <w:rPr>
                <w:rFonts w:cs="Arial"/>
                <w:sz w:val="18"/>
                <w:szCs w:val="18"/>
              </w:rPr>
            </w:pPr>
            <w:r w:rsidRPr="006D2D0A">
              <w:rPr>
                <w:rFonts w:cs="Arial"/>
                <w:sz w:val="18"/>
                <w:szCs w:val="18"/>
              </w:rPr>
              <w:t>Accumulated losses</w:t>
            </w:r>
          </w:p>
        </w:tc>
        <w:tc>
          <w:tcPr>
            <w:tcW w:w="478" w:type="pct"/>
            <w:tcBorders>
              <w:top w:val="nil"/>
              <w:left w:val="nil"/>
              <w:bottom w:val="nil"/>
              <w:right w:val="nil"/>
            </w:tcBorders>
            <w:shd w:val="clear" w:color="auto" w:fill="auto"/>
            <w:noWrap/>
          </w:tcPr>
          <w:p w:rsidR="004B5A70" w:rsidRPr="006D2D0A" w:rsidRDefault="004B5A70" w:rsidP="00704CC0">
            <w:pPr>
              <w:keepNext/>
              <w:keepLines/>
              <w:tabs>
                <w:tab w:val="left" w:pos="567"/>
                <w:tab w:val="left" w:pos="1134"/>
                <w:tab w:val="left" w:pos="1701"/>
                <w:tab w:val="left" w:pos="2268"/>
              </w:tabs>
              <w:rPr>
                <w:rFonts w:cs="Arial"/>
                <w:sz w:val="18"/>
                <w:szCs w:val="18"/>
              </w:rPr>
            </w:pPr>
          </w:p>
        </w:tc>
        <w:tc>
          <w:tcPr>
            <w:tcW w:w="1077" w:type="pct"/>
            <w:tcBorders>
              <w:top w:val="nil"/>
              <w:left w:val="nil"/>
              <w:bottom w:val="nil"/>
              <w:right w:val="nil"/>
            </w:tcBorders>
            <w:shd w:val="clear" w:color="auto" w:fill="auto"/>
            <w:noWrap/>
            <w:vAlign w:val="bottom"/>
          </w:tcPr>
          <w:p w:rsidR="004B5A70" w:rsidRPr="006D2D0A" w:rsidRDefault="00B63AB3" w:rsidP="00704CC0">
            <w:pPr>
              <w:keepNext/>
              <w:keepLines/>
              <w:tabs>
                <w:tab w:val="left" w:pos="567"/>
                <w:tab w:val="left" w:pos="1134"/>
                <w:tab w:val="left" w:pos="1701"/>
                <w:tab w:val="left" w:pos="2268"/>
              </w:tabs>
              <w:jc w:val="right"/>
              <w:rPr>
                <w:rFonts w:cs="Arial"/>
                <w:b/>
                <w:sz w:val="18"/>
                <w:szCs w:val="18"/>
              </w:rPr>
            </w:pPr>
            <w:r w:rsidRPr="006D2D0A">
              <w:rPr>
                <w:rFonts w:cs="Arial"/>
                <w:b/>
                <w:sz w:val="18"/>
                <w:szCs w:val="18"/>
              </w:rPr>
              <w:t>(30,3</w:t>
            </w:r>
            <w:r w:rsidR="00F81E40" w:rsidRPr="006D2D0A">
              <w:rPr>
                <w:rFonts w:cs="Arial"/>
                <w:b/>
                <w:sz w:val="18"/>
                <w:szCs w:val="18"/>
              </w:rPr>
              <w:t>39</w:t>
            </w:r>
            <w:r w:rsidRPr="006D2D0A">
              <w:rPr>
                <w:rFonts w:cs="Arial"/>
                <w:b/>
                <w:sz w:val="18"/>
                <w:szCs w:val="18"/>
              </w:rPr>
              <w:t>)</w:t>
            </w:r>
          </w:p>
        </w:tc>
        <w:tc>
          <w:tcPr>
            <w:tcW w:w="213"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b/>
                <w:bCs/>
                <w:color w:val="FF0000"/>
                <w:sz w:val="18"/>
                <w:szCs w:val="18"/>
              </w:rPr>
            </w:pPr>
          </w:p>
        </w:tc>
        <w:tc>
          <w:tcPr>
            <w:tcW w:w="1052" w:type="pct"/>
            <w:tcBorders>
              <w:top w:val="nil"/>
              <w:left w:val="nil"/>
              <w:bottom w:val="nil"/>
              <w:right w:val="nil"/>
            </w:tcBorders>
            <w:shd w:val="clear" w:color="auto" w:fill="auto"/>
            <w:noWrap/>
            <w:vAlign w:val="bottom"/>
          </w:tcPr>
          <w:p w:rsidR="004B5A70" w:rsidRPr="006D2D0A" w:rsidRDefault="004B5A70" w:rsidP="00704CC0">
            <w:pPr>
              <w:keepNext/>
              <w:keepLines/>
              <w:tabs>
                <w:tab w:val="left" w:pos="567"/>
                <w:tab w:val="left" w:pos="1134"/>
                <w:tab w:val="left" w:pos="1701"/>
                <w:tab w:val="left" w:pos="2268"/>
              </w:tabs>
              <w:jc w:val="right"/>
              <w:rPr>
                <w:rFonts w:cs="Arial"/>
                <w:sz w:val="18"/>
                <w:szCs w:val="18"/>
              </w:rPr>
            </w:pPr>
            <w:r w:rsidRPr="006D2D0A">
              <w:rPr>
                <w:rFonts w:cs="Arial"/>
                <w:sz w:val="18"/>
                <w:szCs w:val="18"/>
              </w:rPr>
              <w:t>(26,287)</w:t>
            </w:r>
          </w:p>
        </w:tc>
      </w:tr>
      <w:tr w:rsidR="00043F45" w:rsidRPr="006D2D0A" w:rsidTr="00562F9C">
        <w:trPr>
          <w:trHeight w:val="20"/>
        </w:trPr>
        <w:tc>
          <w:tcPr>
            <w:tcW w:w="2658" w:type="pct"/>
            <w:gridSpan w:val="2"/>
            <w:tcBorders>
              <w:top w:val="nil"/>
              <w:left w:val="nil"/>
              <w:bottom w:val="nil"/>
              <w:right w:val="nil"/>
            </w:tcBorders>
            <w:shd w:val="clear" w:color="auto" w:fill="auto"/>
          </w:tcPr>
          <w:p w:rsidR="00043F45" w:rsidRPr="006D2D0A" w:rsidRDefault="00043F45" w:rsidP="00704CC0">
            <w:pPr>
              <w:tabs>
                <w:tab w:val="left" w:pos="567"/>
                <w:tab w:val="left" w:pos="1134"/>
                <w:tab w:val="left" w:pos="1701"/>
                <w:tab w:val="left" w:pos="2268"/>
              </w:tabs>
              <w:rPr>
                <w:rFonts w:cs="Arial"/>
                <w:sz w:val="18"/>
                <w:szCs w:val="18"/>
              </w:rPr>
            </w:pPr>
            <w:r w:rsidRPr="006D2D0A">
              <w:rPr>
                <w:rFonts w:cs="Arial"/>
                <w:b/>
                <w:bCs/>
                <w:sz w:val="18"/>
                <w:szCs w:val="18"/>
              </w:rPr>
              <w:t>Equity attributable to owners of the Company</w:t>
            </w:r>
          </w:p>
        </w:tc>
        <w:tc>
          <w:tcPr>
            <w:tcW w:w="1077" w:type="pct"/>
            <w:tcBorders>
              <w:top w:val="single" w:sz="4" w:space="0" w:color="auto"/>
              <w:left w:val="nil"/>
              <w:bottom w:val="single" w:sz="8" w:space="0" w:color="auto"/>
              <w:right w:val="nil"/>
            </w:tcBorders>
            <w:shd w:val="clear" w:color="auto" w:fill="auto"/>
            <w:noWrap/>
            <w:vAlign w:val="bottom"/>
          </w:tcPr>
          <w:p w:rsidR="00043F45" w:rsidRPr="006D2D0A" w:rsidRDefault="00043F45" w:rsidP="00704CC0">
            <w:pPr>
              <w:tabs>
                <w:tab w:val="left" w:pos="567"/>
                <w:tab w:val="left" w:pos="1134"/>
                <w:tab w:val="left" w:pos="1701"/>
                <w:tab w:val="left" w:pos="2268"/>
              </w:tabs>
              <w:jc w:val="right"/>
              <w:rPr>
                <w:rFonts w:cs="Arial"/>
                <w:b/>
                <w:bCs/>
                <w:sz w:val="18"/>
                <w:szCs w:val="18"/>
              </w:rPr>
            </w:pPr>
            <w:r w:rsidRPr="006D2D0A">
              <w:rPr>
                <w:rFonts w:cs="Arial"/>
                <w:b/>
                <w:bCs/>
                <w:sz w:val="18"/>
                <w:szCs w:val="18"/>
              </w:rPr>
              <w:t>8,121</w:t>
            </w:r>
          </w:p>
        </w:tc>
        <w:tc>
          <w:tcPr>
            <w:tcW w:w="213" w:type="pct"/>
            <w:tcBorders>
              <w:top w:val="nil"/>
              <w:left w:val="nil"/>
              <w:bottom w:val="nil"/>
              <w:right w:val="nil"/>
            </w:tcBorders>
            <w:shd w:val="clear" w:color="auto" w:fill="auto"/>
            <w:noWrap/>
            <w:vAlign w:val="bottom"/>
          </w:tcPr>
          <w:p w:rsidR="00043F45" w:rsidRPr="006D2D0A" w:rsidRDefault="00043F45" w:rsidP="00704CC0">
            <w:pPr>
              <w:tabs>
                <w:tab w:val="left" w:pos="567"/>
                <w:tab w:val="left" w:pos="1134"/>
                <w:tab w:val="left" w:pos="1701"/>
                <w:tab w:val="left" w:pos="2268"/>
              </w:tabs>
              <w:jc w:val="right"/>
              <w:rPr>
                <w:rFonts w:cs="Arial"/>
                <w:b/>
                <w:bCs/>
                <w:sz w:val="18"/>
                <w:szCs w:val="18"/>
              </w:rPr>
            </w:pPr>
          </w:p>
        </w:tc>
        <w:tc>
          <w:tcPr>
            <w:tcW w:w="1052" w:type="pct"/>
            <w:tcBorders>
              <w:top w:val="single" w:sz="4" w:space="0" w:color="auto"/>
              <w:left w:val="nil"/>
              <w:bottom w:val="single" w:sz="8" w:space="0" w:color="auto"/>
            </w:tcBorders>
            <w:shd w:val="clear" w:color="auto" w:fill="auto"/>
            <w:noWrap/>
            <w:vAlign w:val="bottom"/>
          </w:tcPr>
          <w:p w:rsidR="00043F45" w:rsidRPr="006D2D0A" w:rsidRDefault="00043F45" w:rsidP="00704CC0">
            <w:pPr>
              <w:tabs>
                <w:tab w:val="left" w:pos="567"/>
                <w:tab w:val="left" w:pos="1134"/>
                <w:tab w:val="left" w:pos="1701"/>
                <w:tab w:val="left" w:pos="2268"/>
              </w:tabs>
              <w:jc w:val="right"/>
              <w:rPr>
                <w:rFonts w:cs="Arial"/>
                <w:b/>
                <w:bCs/>
                <w:sz w:val="18"/>
                <w:szCs w:val="18"/>
              </w:rPr>
            </w:pPr>
            <w:r w:rsidRPr="006D2D0A">
              <w:rPr>
                <w:rFonts w:cs="Arial"/>
                <w:bCs/>
                <w:sz w:val="18"/>
                <w:szCs w:val="18"/>
              </w:rPr>
              <w:t>21,173</w:t>
            </w:r>
          </w:p>
        </w:tc>
      </w:tr>
    </w:tbl>
    <w:p w:rsidR="00043F45" w:rsidRPr="00A76890" w:rsidRDefault="00ED1389" w:rsidP="00704CC0">
      <w:pPr>
        <w:pStyle w:val="Normal2-Para"/>
        <w:tabs>
          <w:tab w:val="left" w:pos="567"/>
          <w:tab w:val="left" w:pos="1134"/>
          <w:tab w:val="left" w:pos="1701"/>
          <w:tab w:val="left" w:pos="2268"/>
        </w:tabs>
        <w:spacing w:line="240" w:lineRule="auto"/>
      </w:pPr>
      <w:r>
        <w:t xml:space="preserve">* </w:t>
      </w:r>
      <w:r w:rsidR="00043F45" w:rsidRPr="00A76890">
        <w:t>Refer note 12, Investments in subsidiaries.</w:t>
      </w:r>
    </w:p>
    <w:p w:rsidR="00043F45" w:rsidRPr="00EB02DA" w:rsidRDefault="00043F45" w:rsidP="00704CC0">
      <w:pPr>
        <w:pStyle w:val="Normal2-Para"/>
        <w:tabs>
          <w:tab w:val="left" w:pos="567"/>
          <w:tab w:val="left" w:pos="1134"/>
          <w:tab w:val="left" w:pos="1701"/>
          <w:tab w:val="left" w:pos="2268"/>
        </w:tabs>
        <w:spacing w:line="240" w:lineRule="auto"/>
        <w:rPr>
          <w:i/>
        </w:rPr>
      </w:pPr>
      <w:r w:rsidRPr="00EB02DA">
        <w:rPr>
          <w:i/>
        </w:rPr>
        <w:t>(The accompanying notes are an integral part of the financial statements.)</w:t>
      </w:r>
    </w:p>
    <w:p w:rsidR="00043F45" w:rsidRPr="00A76890" w:rsidRDefault="00043F45" w:rsidP="00704CC0">
      <w:pPr>
        <w:pStyle w:val="Normal2-Para"/>
        <w:tabs>
          <w:tab w:val="left" w:pos="567"/>
          <w:tab w:val="left" w:pos="1134"/>
          <w:tab w:val="left" w:pos="1701"/>
          <w:tab w:val="left" w:pos="2268"/>
        </w:tabs>
        <w:spacing w:before="240" w:line="240" w:lineRule="auto"/>
      </w:pPr>
      <w:r w:rsidRPr="00A76890">
        <w:t xml:space="preserve">The financial statements on pages 14 to 43 were approved and authorised for issue by the Board of Directors on 26 </w:t>
      </w:r>
      <w:proofErr w:type="gramStart"/>
      <w:r w:rsidRPr="00A76890">
        <w:t>February  2014</w:t>
      </w:r>
      <w:proofErr w:type="gramEnd"/>
      <w:r w:rsidRPr="00A76890">
        <w:t xml:space="preserve">  and are signed on its behalf by</w:t>
      </w:r>
    </w:p>
    <w:tbl>
      <w:tblPr>
        <w:tblW w:w="8953" w:type="dxa"/>
        <w:tblCellMar>
          <w:top w:w="57" w:type="dxa"/>
          <w:left w:w="57" w:type="dxa"/>
          <w:bottom w:w="57" w:type="dxa"/>
          <w:right w:w="57" w:type="dxa"/>
        </w:tblCellMar>
        <w:tblLook w:val="04A0"/>
      </w:tblPr>
      <w:tblGrid>
        <w:gridCol w:w="4476"/>
        <w:gridCol w:w="4477"/>
      </w:tblGrid>
      <w:tr w:rsidR="00043F45" w:rsidRPr="00A76890" w:rsidTr="00562F9C">
        <w:tc>
          <w:tcPr>
            <w:tcW w:w="4476" w:type="dxa"/>
            <w:tcBorders>
              <w:top w:val="nil"/>
              <w:left w:val="nil"/>
              <w:right w:val="nil"/>
            </w:tcBorders>
            <w:shd w:val="clear" w:color="auto" w:fill="auto"/>
            <w:vAlign w:val="bottom"/>
          </w:tcPr>
          <w:p w:rsidR="00043F45" w:rsidRPr="00A76890" w:rsidRDefault="00043F45" w:rsidP="00704CC0">
            <w:pPr>
              <w:pStyle w:val="Normal2-Para"/>
              <w:tabs>
                <w:tab w:val="left" w:pos="567"/>
                <w:tab w:val="left" w:pos="1134"/>
                <w:tab w:val="left" w:pos="1701"/>
                <w:tab w:val="left" w:pos="2268"/>
              </w:tabs>
              <w:spacing w:line="240" w:lineRule="auto"/>
              <w:jc w:val="left"/>
            </w:pPr>
            <w:r w:rsidRPr="00043F45">
              <w:rPr>
                <w:b/>
              </w:rPr>
              <w:t>Vikram Lall</w:t>
            </w:r>
            <w:r w:rsidRPr="00043F45">
              <w:br/>
            </w:r>
            <w:r w:rsidRPr="00A76890">
              <w:t>Director</w:t>
            </w:r>
          </w:p>
        </w:tc>
        <w:tc>
          <w:tcPr>
            <w:tcW w:w="4476" w:type="dxa"/>
            <w:tcBorders>
              <w:top w:val="nil"/>
              <w:left w:val="nil"/>
              <w:right w:val="nil"/>
            </w:tcBorders>
            <w:shd w:val="clear" w:color="auto" w:fill="auto"/>
            <w:vAlign w:val="bottom"/>
          </w:tcPr>
          <w:p w:rsidR="00043F45" w:rsidRPr="00A76890" w:rsidRDefault="00043F45" w:rsidP="00704CC0">
            <w:pPr>
              <w:pStyle w:val="Normal2-Para"/>
              <w:tabs>
                <w:tab w:val="left" w:pos="567"/>
                <w:tab w:val="left" w:pos="1134"/>
                <w:tab w:val="left" w:pos="1701"/>
                <w:tab w:val="left" w:pos="2268"/>
              </w:tabs>
              <w:spacing w:line="240" w:lineRule="auto"/>
              <w:jc w:val="left"/>
            </w:pPr>
            <w:r w:rsidRPr="00043F45">
              <w:rPr>
                <w:b/>
              </w:rPr>
              <w:t>Elizabeth Tansell</w:t>
            </w:r>
            <w:r w:rsidRPr="00043F45">
              <w:rPr>
                <w:b/>
              </w:rPr>
              <w:br/>
            </w:r>
            <w:r w:rsidRPr="00A76890">
              <w:t>Director</w:t>
            </w:r>
          </w:p>
        </w:tc>
      </w:tr>
    </w:tbl>
    <w:p w:rsidR="00C31968" w:rsidRPr="00704CC0" w:rsidRDefault="00C31968" w:rsidP="00704CC0">
      <w:pPr>
        <w:pStyle w:val="Heading2-Para"/>
        <w:spacing w:before="720" w:after="120"/>
        <w:rPr>
          <w:sz w:val="24"/>
          <w:szCs w:val="24"/>
        </w:rPr>
      </w:pPr>
      <w:bookmarkStart w:id="12" w:name="_Toc286417104"/>
      <w:bookmarkStart w:id="13" w:name="_Toc317955100"/>
      <w:r w:rsidRPr="00704CC0">
        <w:rPr>
          <w:sz w:val="24"/>
          <w:szCs w:val="24"/>
        </w:rPr>
        <w:t>Statement of Cash Flows</w:t>
      </w:r>
    </w:p>
    <w:tbl>
      <w:tblPr>
        <w:tblW w:w="8953" w:type="dxa"/>
        <w:tblCellMar>
          <w:top w:w="28" w:type="dxa"/>
          <w:left w:w="57" w:type="dxa"/>
          <w:bottom w:w="28" w:type="dxa"/>
          <w:right w:w="57" w:type="dxa"/>
        </w:tblCellMar>
        <w:tblLook w:val="04A0"/>
      </w:tblPr>
      <w:tblGrid>
        <w:gridCol w:w="438"/>
        <w:gridCol w:w="3155"/>
        <w:gridCol w:w="1339"/>
        <w:gridCol w:w="56"/>
        <w:gridCol w:w="1284"/>
        <w:gridCol w:w="38"/>
        <w:gridCol w:w="1302"/>
        <w:gridCol w:w="20"/>
        <w:gridCol w:w="1321"/>
      </w:tblGrid>
      <w:tr w:rsidR="00C31968" w:rsidRPr="006D2D0A" w:rsidTr="00562F9C">
        <w:trPr>
          <w:trHeight w:val="20"/>
          <w:tblHeader/>
        </w:trPr>
        <w:tc>
          <w:tcPr>
            <w:tcW w:w="245" w:type="pct"/>
            <w:tcBorders>
              <w:top w:val="nil"/>
              <w:left w:val="nil"/>
              <w:bottom w:val="nil"/>
              <w:right w:val="nil"/>
            </w:tcBorders>
            <w:shd w:val="clear" w:color="auto" w:fill="auto"/>
            <w:noWrap/>
            <w:vAlign w:val="bottom"/>
          </w:tcPr>
          <w:p w:rsidR="00C31968" w:rsidRPr="006D2D0A" w:rsidRDefault="00C31968"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vAlign w:val="bottom"/>
          </w:tcPr>
          <w:p w:rsidR="00C31968" w:rsidRPr="006D2D0A" w:rsidRDefault="00C31968" w:rsidP="00704CC0">
            <w:pPr>
              <w:pStyle w:val="Normal-Table"/>
              <w:tabs>
                <w:tab w:val="left" w:pos="567"/>
                <w:tab w:val="left" w:pos="1134"/>
                <w:tab w:val="left" w:pos="1701"/>
                <w:tab w:val="left" w:pos="2268"/>
              </w:tabs>
              <w:rPr>
                <w:sz w:val="18"/>
              </w:rPr>
            </w:pPr>
          </w:p>
        </w:tc>
        <w:tc>
          <w:tcPr>
            <w:tcW w:w="1496" w:type="pct"/>
            <w:gridSpan w:val="3"/>
            <w:tcBorders>
              <w:top w:val="nil"/>
              <w:left w:val="nil"/>
              <w:bottom w:val="single" w:sz="4" w:space="0" w:color="auto"/>
              <w:right w:val="nil"/>
            </w:tcBorders>
            <w:shd w:val="clear" w:color="auto" w:fill="auto"/>
            <w:noWrap/>
            <w:vAlign w:val="bottom"/>
          </w:tcPr>
          <w:p w:rsidR="00C31968" w:rsidRPr="006D2D0A" w:rsidRDefault="00C31968" w:rsidP="00704CC0">
            <w:pPr>
              <w:pStyle w:val="Normal-Table"/>
              <w:tabs>
                <w:tab w:val="left" w:pos="567"/>
                <w:tab w:val="left" w:pos="1134"/>
                <w:tab w:val="left" w:pos="1701"/>
                <w:tab w:val="left" w:pos="2268"/>
              </w:tabs>
              <w:jc w:val="right"/>
              <w:rPr>
                <w:b/>
                <w:sz w:val="18"/>
              </w:rPr>
            </w:pPr>
            <w:r w:rsidRPr="006D2D0A">
              <w:rPr>
                <w:b/>
                <w:sz w:val="18"/>
              </w:rPr>
              <w:t>Consolidated</w:t>
            </w:r>
          </w:p>
        </w:tc>
        <w:tc>
          <w:tcPr>
            <w:tcW w:w="1497" w:type="pct"/>
            <w:gridSpan w:val="4"/>
            <w:tcBorders>
              <w:top w:val="nil"/>
              <w:left w:val="nil"/>
              <w:bottom w:val="single" w:sz="4" w:space="0" w:color="auto"/>
              <w:right w:val="nil"/>
            </w:tcBorders>
            <w:shd w:val="clear" w:color="auto" w:fill="auto"/>
            <w:noWrap/>
            <w:vAlign w:val="bottom"/>
          </w:tcPr>
          <w:p w:rsidR="00C31968" w:rsidRPr="006D2D0A" w:rsidRDefault="00C31968" w:rsidP="00704CC0">
            <w:pPr>
              <w:pStyle w:val="Normal-Table"/>
              <w:tabs>
                <w:tab w:val="left" w:pos="567"/>
                <w:tab w:val="left" w:pos="1134"/>
                <w:tab w:val="left" w:pos="1701"/>
                <w:tab w:val="left" w:pos="2268"/>
              </w:tabs>
              <w:jc w:val="right"/>
              <w:rPr>
                <w:b/>
                <w:sz w:val="18"/>
              </w:rPr>
            </w:pPr>
            <w:r w:rsidRPr="006D2D0A">
              <w:rPr>
                <w:b/>
                <w:sz w:val="18"/>
              </w:rPr>
              <w:t>Company</w:t>
            </w:r>
          </w:p>
        </w:tc>
      </w:tr>
      <w:tr w:rsidR="002C7724" w:rsidRPr="006D2D0A" w:rsidTr="00562F9C">
        <w:trPr>
          <w:trHeight w:val="20"/>
          <w:tblHeader/>
        </w:trPr>
        <w:tc>
          <w:tcPr>
            <w:tcW w:w="245" w:type="pct"/>
            <w:tcBorders>
              <w:top w:val="nil"/>
              <w:left w:val="nil"/>
              <w:right w:val="nil"/>
            </w:tcBorders>
            <w:shd w:val="clear" w:color="auto" w:fill="auto"/>
            <w:noWrap/>
            <w:vAlign w:val="bottom"/>
          </w:tcPr>
          <w:p w:rsidR="002C7724" w:rsidRPr="006D2D0A" w:rsidRDefault="002C7724" w:rsidP="00704CC0">
            <w:pPr>
              <w:pStyle w:val="Normal-Table"/>
              <w:tabs>
                <w:tab w:val="left" w:pos="567"/>
                <w:tab w:val="left" w:pos="1134"/>
                <w:tab w:val="left" w:pos="1701"/>
                <w:tab w:val="left" w:pos="2268"/>
              </w:tabs>
              <w:rPr>
                <w:sz w:val="18"/>
              </w:rPr>
            </w:pPr>
          </w:p>
        </w:tc>
        <w:tc>
          <w:tcPr>
            <w:tcW w:w="1762" w:type="pct"/>
            <w:tcBorders>
              <w:top w:val="nil"/>
              <w:left w:val="nil"/>
              <w:right w:val="nil"/>
            </w:tcBorders>
            <w:shd w:val="clear" w:color="auto" w:fill="auto"/>
            <w:vAlign w:val="bottom"/>
          </w:tcPr>
          <w:p w:rsidR="002C7724" w:rsidRPr="006D2D0A" w:rsidRDefault="002C7724" w:rsidP="00704CC0">
            <w:pPr>
              <w:pStyle w:val="Normal-Table"/>
              <w:tabs>
                <w:tab w:val="left" w:pos="567"/>
                <w:tab w:val="left" w:pos="1134"/>
                <w:tab w:val="left" w:pos="1701"/>
                <w:tab w:val="left" w:pos="2268"/>
              </w:tabs>
              <w:rPr>
                <w:sz w:val="18"/>
              </w:rPr>
            </w:pPr>
          </w:p>
        </w:tc>
        <w:tc>
          <w:tcPr>
            <w:tcW w:w="748" w:type="pct"/>
            <w:tcBorders>
              <w:top w:val="nil"/>
              <w:left w:val="nil"/>
              <w:right w:val="nil"/>
            </w:tcBorders>
            <w:shd w:val="clear" w:color="auto" w:fill="auto"/>
            <w:vAlign w:val="bottom"/>
          </w:tcPr>
          <w:p w:rsidR="002C7724" w:rsidRPr="006D2D0A" w:rsidRDefault="002C7724" w:rsidP="00704CC0">
            <w:pPr>
              <w:pStyle w:val="Normal-Table"/>
              <w:tabs>
                <w:tab w:val="left" w:pos="567"/>
                <w:tab w:val="left" w:pos="1134"/>
                <w:tab w:val="left" w:pos="1701"/>
                <w:tab w:val="left" w:pos="2268"/>
              </w:tabs>
              <w:jc w:val="right"/>
              <w:rPr>
                <w:b/>
                <w:sz w:val="18"/>
              </w:rPr>
            </w:pPr>
            <w:r w:rsidRPr="006D2D0A">
              <w:rPr>
                <w:b/>
                <w:sz w:val="18"/>
              </w:rPr>
              <w:t>For the year ended</w:t>
            </w:r>
          </w:p>
          <w:p w:rsidR="002C7724" w:rsidRPr="006D2D0A" w:rsidRDefault="002C7724" w:rsidP="00704CC0">
            <w:pPr>
              <w:pStyle w:val="Normal-Table"/>
              <w:tabs>
                <w:tab w:val="left" w:pos="567"/>
                <w:tab w:val="left" w:pos="1134"/>
                <w:tab w:val="left" w:pos="1701"/>
                <w:tab w:val="left" w:pos="2268"/>
              </w:tabs>
              <w:jc w:val="right"/>
              <w:rPr>
                <w:b/>
                <w:sz w:val="18"/>
              </w:rPr>
            </w:pPr>
            <w:r w:rsidRPr="006D2D0A">
              <w:rPr>
                <w:b/>
                <w:sz w:val="18"/>
              </w:rPr>
              <w:t>31 August 2013</w:t>
            </w:r>
          </w:p>
          <w:p w:rsidR="002C7724" w:rsidRPr="006D2D0A" w:rsidRDefault="002C7724" w:rsidP="00704CC0">
            <w:pPr>
              <w:pStyle w:val="Normal-Table"/>
              <w:tabs>
                <w:tab w:val="left" w:pos="567"/>
                <w:tab w:val="left" w:pos="1134"/>
                <w:tab w:val="left" w:pos="1701"/>
                <w:tab w:val="left" w:pos="2268"/>
              </w:tabs>
              <w:jc w:val="right"/>
              <w:rPr>
                <w:b/>
                <w:sz w:val="18"/>
              </w:rPr>
            </w:pPr>
            <w:r w:rsidRPr="006D2D0A">
              <w:rPr>
                <w:b/>
                <w:sz w:val="18"/>
              </w:rPr>
              <w:t>£'000</w:t>
            </w:r>
          </w:p>
        </w:tc>
        <w:tc>
          <w:tcPr>
            <w:tcW w:w="748" w:type="pct"/>
            <w:gridSpan w:val="2"/>
            <w:tcBorders>
              <w:top w:val="nil"/>
              <w:left w:val="nil"/>
              <w:right w:val="nil"/>
            </w:tcBorders>
            <w:shd w:val="clear" w:color="auto" w:fill="auto"/>
            <w:vAlign w:val="bottom"/>
          </w:tcPr>
          <w:p w:rsidR="002C7724" w:rsidRPr="006D2D0A" w:rsidRDefault="002C7724" w:rsidP="00704CC0">
            <w:pPr>
              <w:pStyle w:val="Normal-Table"/>
              <w:tabs>
                <w:tab w:val="left" w:pos="567"/>
                <w:tab w:val="left" w:pos="1134"/>
                <w:tab w:val="left" w:pos="1701"/>
                <w:tab w:val="left" w:pos="2268"/>
              </w:tabs>
              <w:jc w:val="right"/>
              <w:rPr>
                <w:sz w:val="18"/>
              </w:rPr>
            </w:pPr>
            <w:r w:rsidRPr="006D2D0A">
              <w:rPr>
                <w:sz w:val="18"/>
              </w:rPr>
              <w:t>For the year ended</w:t>
            </w:r>
          </w:p>
          <w:p w:rsidR="002C7724" w:rsidRPr="006D2D0A" w:rsidRDefault="002C7724" w:rsidP="00704CC0">
            <w:pPr>
              <w:pStyle w:val="Normal-Table"/>
              <w:tabs>
                <w:tab w:val="left" w:pos="567"/>
                <w:tab w:val="left" w:pos="1134"/>
                <w:tab w:val="left" w:pos="1701"/>
                <w:tab w:val="left" w:pos="2268"/>
              </w:tabs>
              <w:jc w:val="right"/>
              <w:rPr>
                <w:sz w:val="18"/>
              </w:rPr>
            </w:pPr>
            <w:r w:rsidRPr="006D2D0A">
              <w:rPr>
                <w:sz w:val="18"/>
              </w:rPr>
              <w:t>31 August 2012</w:t>
            </w:r>
          </w:p>
          <w:p w:rsidR="002C7724" w:rsidRPr="006D2D0A" w:rsidRDefault="002C7724" w:rsidP="00704CC0">
            <w:pPr>
              <w:pStyle w:val="Normal-Table"/>
              <w:tabs>
                <w:tab w:val="left" w:pos="567"/>
                <w:tab w:val="left" w:pos="1134"/>
                <w:tab w:val="left" w:pos="1701"/>
                <w:tab w:val="left" w:pos="2268"/>
              </w:tabs>
              <w:jc w:val="right"/>
              <w:rPr>
                <w:sz w:val="18"/>
              </w:rPr>
            </w:pPr>
            <w:r w:rsidRPr="006D2D0A">
              <w:rPr>
                <w:sz w:val="18"/>
              </w:rPr>
              <w:t>£'000</w:t>
            </w:r>
          </w:p>
        </w:tc>
        <w:tc>
          <w:tcPr>
            <w:tcW w:w="748" w:type="pct"/>
            <w:gridSpan w:val="2"/>
            <w:tcBorders>
              <w:top w:val="nil"/>
              <w:left w:val="nil"/>
              <w:right w:val="nil"/>
            </w:tcBorders>
            <w:shd w:val="clear" w:color="auto" w:fill="auto"/>
            <w:vAlign w:val="bottom"/>
          </w:tcPr>
          <w:p w:rsidR="002C7724" w:rsidRPr="006D2D0A" w:rsidRDefault="002C7724" w:rsidP="00704CC0">
            <w:pPr>
              <w:pStyle w:val="Normal-Table"/>
              <w:tabs>
                <w:tab w:val="left" w:pos="567"/>
                <w:tab w:val="left" w:pos="1134"/>
                <w:tab w:val="left" w:pos="1701"/>
                <w:tab w:val="left" w:pos="2268"/>
              </w:tabs>
              <w:jc w:val="right"/>
              <w:rPr>
                <w:b/>
                <w:sz w:val="18"/>
              </w:rPr>
            </w:pPr>
            <w:r w:rsidRPr="006D2D0A">
              <w:rPr>
                <w:b/>
                <w:sz w:val="18"/>
              </w:rPr>
              <w:t>For the year ended</w:t>
            </w:r>
          </w:p>
          <w:p w:rsidR="002C7724" w:rsidRPr="006D2D0A" w:rsidRDefault="002C7724" w:rsidP="00704CC0">
            <w:pPr>
              <w:pStyle w:val="Normal-Table"/>
              <w:tabs>
                <w:tab w:val="left" w:pos="567"/>
                <w:tab w:val="left" w:pos="1134"/>
                <w:tab w:val="left" w:pos="1701"/>
                <w:tab w:val="left" w:pos="2268"/>
              </w:tabs>
              <w:jc w:val="right"/>
              <w:rPr>
                <w:b/>
                <w:sz w:val="18"/>
              </w:rPr>
            </w:pPr>
            <w:r w:rsidRPr="006D2D0A">
              <w:rPr>
                <w:b/>
                <w:sz w:val="18"/>
              </w:rPr>
              <w:t>31 August 2013</w:t>
            </w:r>
          </w:p>
          <w:p w:rsidR="002C7724" w:rsidRPr="006D2D0A" w:rsidRDefault="002C7724" w:rsidP="00704CC0">
            <w:pPr>
              <w:pStyle w:val="Normal-Table"/>
              <w:tabs>
                <w:tab w:val="left" w:pos="567"/>
                <w:tab w:val="left" w:pos="1134"/>
                <w:tab w:val="left" w:pos="1701"/>
                <w:tab w:val="left" w:pos="2268"/>
              </w:tabs>
              <w:jc w:val="right"/>
              <w:rPr>
                <w:b/>
                <w:sz w:val="18"/>
              </w:rPr>
            </w:pPr>
            <w:r w:rsidRPr="006D2D0A">
              <w:rPr>
                <w:b/>
                <w:sz w:val="18"/>
              </w:rPr>
              <w:t>£'000</w:t>
            </w:r>
          </w:p>
        </w:tc>
        <w:tc>
          <w:tcPr>
            <w:tcW w:w="749" w:type="pct"/>
            <w:gridSpan w:val="2"/>
            <w:tcBorders>
              <w:top w:val="nil"/>
              <w:left w:val="nil"/>
              <w:right w:val="nil"/>
            </w:tcBorders>
            <w:shd w:val="clear" w:color="auto" w:fill="auto"/>
            <w:vAlign w:val="bottom"/>
          </w:tcPr>
          <w:p w:rsidR="002C7724" w:rsidRPr="006D2D0A" w:rsidRDefault="002C7724" w:rsidP="00704CC0">
            <w:pPr>
              <w:pStyle w:val="Normal-Table"/>
              <w:tabs>
                <w:tab w:val="left" w:pos="567"/>
                <w:tab w:val="left" w:pos="1134"/>
                <w:tab w:val="left" w:pos="1701"/>
                <w:tab w:val="left" w:pos="2268"/>
              </w:tabs>
              <w:jc w:val="right"/>
              <w:rPr>
                <w:sz w:val="18"/>
              </w:rPr>
            </w:pPr>
            <w:r w:rsidRPr="006D2D0A">
              <w:rPr>
                <w:sz w:val="18"/>
              </w:rPr>
              <w:t>For the year ended</w:t>
            </w:r>
          </w:p>
          <w:p w:rsidR="002C7724" w:rsidRPr="006D2D0A" w:rsidRDefault="002C7724" w:rsidP="00704CC0">
            <w:pPr>
              <w:pStyle w:val="Normal-Table"/>
              <w:tabs>
                <w:tab w:val="left" w:pos="567"/>
                <w:tab w:val="left" w:pos="1134"/>
                <w:tab w:val="left" w:pos="1701"/>
                <w:tab w:val="left" w:pos="2268"/>
              </w:tabs>
              <w:jc w:val="right"/>
              <w:rPr>
                <w:sz w:val="18"/>
              </w:rPr>
            </w:pPr>
            <w:r w:rsidRPr="006D2D0A">
              <w:rPr>
                <w:sz w:val="18"/>
              </w:rPr>
              <w:t>31 August 2012</w:t>
            </w:r>
          </w:p>
          <w:p w:rsidR="002C7724" w:rsidRPr="006D2D0A" w:rsidRDefault="002C7724" w:rsidP="00704CC0">
            <w:pPr>
              <w:pStyle w:val="Normal-Table"/>
              <w:tabs>
                <w:tab w:val="left" w:pos="567"/>
                <w:tab w:val="left" w:pos="1134"/>
                <w:tab w:val="left" w:pos="1701"/>
                <w:tab w:val="left" w:pos="2268"/>
              </w:tabs>
              <w:jc w:val="right"/>
              <w:rPr>
                <w:sz w:val="18"/>
              </w:rPr>
            </w:pPr>
            <w:r w:rsidRPr="006D2D0A">
              <w:rPr>
                <w:sz w:val="18"/>
              </w:rPr>
              <w:t>£'000</w:t>
            </w:r>
          </w:p>
        </w:tc>
      </w:tr>
      <w:tr w:rsidR="00C31968" w:rsidRPr="006D2D0A" w:rsidTr="00562F9C">
        <w:trPr>
          <w:trHeight w:val="20"/>
        </w:trPr>
        <w:tc>
          <w:tcPr>
            <w:tcW w:w="245" w:type="pct"/>
            <w:tcBorders>
              <w:top w:val="nil"/>
              <w:left w:val="nil"/>
              <w:bottom w:val="nil"/>
              <w:right w:val="nil"/>
            </w:tcBorders>
            <w:shd w:val="clear" w:color="auto" w:fill="auto"/>
            <w:noWrap/>
            <w:vAlign w:val="bottom"/>
          </w:tcPr>
          <w:p w:rsidR="00C31968" w:rsidRPr="006D2D0A" w:rsidRDefault="00C31968" w:rsidP="00704CC0">
            <w:pPr>
              <w:pStyle w:val="Normal-Table"/>
              <w:tabs>
                <w:tab w:val="left" w:pos="567"/>
                <w:tab w:val="left" w:pos="1134"/>
                <w:tab w:val="left" w:pos="1701"/>
                <w:tab w:val="left" w:pos="2268"/>
              </w:tabs>
              <w:rPr>
                <w:b/>
                <w:sz w:val="18"/>
              </w:rPr>
            </w:pPr>
            <w:r w:rsidRPr="006D2D0A">
              <w:rPr>
                <w:b/>
                <w:sz w:val="18"/>
              </w:rPr>
              <w:t>(a)</w:t>
            </w:r>
          </w:p>
        </w:tc>
        <w:tc>
          <w:tcPr>
            <w:tcW w:w="1762" w:type="pct"/>
            <w:tcBorders>
              <w:top w:val="nil"/>
              <w:left w:val="nil"/>
              <w:bottom w:val="nil"/>
              <w:right w:val="nil"/>
            </w:tcBorders>
            <w:shd w:val="clear" w:color="auto" w:fill="auto"/>
          </w:tcPr>
          <w:p w:rsidR="00C31968" w:rsidRPr="006D2D0A" w:rsidRDefault="00C31968" w:rsidP="00704CC0">
            <w:pPr>
              <w:pStyle w:val="Normal-Table"/>
              <w:tabs>
                <w:tab w:val="left" w:pos="567"/>
                <w:tab w:val="left" w:pos="1134"/>
                <w:tab w:val="left" w:pos="1701"/>
                <w:tab w:val="left" w:pos="2268"/>
              </w:tabs>
              <w:rPr>
                <w:b/>
                <w:sz w:val="18"/>
              </w:rPr>
            </w:pPr>
            <w:r w:rsidRPr="006D2D0A">
              <w:rPr>
                <w:b/>
                <w:sz w:val="18"/>
              </w:rPr>
              <w:t xml:space="preserve">Operating activities </w:t>
            </w:r>
          </w:p>
        </w:tc>
        <w:tc>
          <w:tcPr>
            <w:tcW w:w="748" w:type="pct"/>
            <w:tcBorders>
              <w:top w:val="nil"/>
              <w:left w:val="nil"/>
              <w:bottom w:val="nil"/>
              <w:right w:val="nil"/>
            </w:tcBorders>
            <w:shd w:val="clear" w:color="auto" w:fill="auto"/>
            <w:noWrap/>
            <w:vAlign w:val="bottom"/>
          </w:tcPr>
          <w:p w:rsidR="00C31968" w:rsidRPr="006D2D0A" w:rsidRDefault="00C31968" w:rsidP="00704CC0">
            <w:pPr>
              <w:pStyle w:val="Normal-Table"/>
              <w:tabs>
                <w:tab w:val="left" w:pos="567"/>
                <w:tab w:val="left" w:pos="1134"/>
                <w:tab w:val="left" w:pos="1701"/>
                <w:tab w:val="left" w:pos="2268"/>
              </w:tabs>
              <w:jc w:val="right"/>
              <w:rPr>
                <w:sz w:val="18"/>
              </w:rPr>
            </w:pPr>
          </w:p>
        </w:tc>
        <w:tc>
          <w:tcPr>
            <w:tcW w:w="748" w:type="pct"/>
            <w:gridSpan w:val="2"/>
            <w:tcBorders>
              <w:top w:val="nil"/>
              <w:left w:val="nil"/>
              <w:bottom w:val="nil"/>
              <w:right w:val="nil"/>
            </w:tcBorders>
            <w:shd w:val="clear" w:color="auto" w:fill="auto"/>
            <w:noWrap/>
            <w:vAlign w:val="bottom"/>
          </w:tcPr>
          <w:p w:rsidR="00C31968" w:rsidRPr="006D2D0A" w:rsidRDefault="00C31968" w:rsidP="00704CC0">
            <w:pPr>
              <w:pStyle w:val="Normal-Table"/>
              <w:tabs>
                <w:tab w:val="left" w:pos="567"/>
                <w:tab w:val="left" w:pos="1134"/>
                <w:tab w:val="left" w:pos="1701"/>
                <w:tab w:val="left" w:pos="2268"/>
              </w:tabs>
              <w:jc w:val="right"/>
              <w:rPr>
                <w:sz w:val="18"/>
              </w:rPr>
            </w:pPr>
          </w:p>
        </w:tc>
        <w:tc>
          <w:tcPr>
            <w:tcW w:w="748" w:type="pct"/>
            <w:gridSpan w:val="2"/>
            <w:tcBorders>
              <w:top w:val="nil"/>
              <w:left w:val="nil"/>
              <w:bottom w:val="nil"/>
              <w:right w:val="nil"/>
            </w:tcBorders>
            <w:shd w:val="clear" w:color="auto" w:fill="auto"/>
            <w:noWrap/>
            <w:vAlign w:val="bottom"/>
          </w:tcPr>
          <w:p w:rsidR="00C31968" w:rsidRPr="006D2D0A" w:rsidRDefault="00C31968" w:rsidP="00704CC0">
            <w:pPr>
              <w:pStyle w:val="Normal-Table"/>
              <w:tabs>
                <w:tab w:val="left" w:pos="567"/>
                <w:tab w:val="left" w:pos="1134"/>
                <w:tab w:val="left" w:pos="1701"/>
                <w:tab w:val="left" w:pos="2268"/>
              </w:tabs>
              <w:jc w:val="right"/>
              <w:rPr>
                <w:b/>
                <w:sz w:val="18"/>
              </w:rPr>
            </w:pPr>
          </w:p>
        </w:tc>
        <w:tc>
          <w:tcPr>
            <w:tcW w:w="749" w:type="pct"/>
            <w:gridSpan w:val="2"/>
            <w:tcBorders>
              <w:top w:val="nil"/>
              <w:left w:val="nil"/>
              <w:bottom w:val="nil"/>
              <w:right w:val="nil"/>
            </w:tcBorders>
            <w:shd w:val="clear" w:color="auto" w:fill="auto"/>
            <w:noWrap/>
            <w:vAlign w:val="bottom"/>
          </w:tcPr>
          <w:p w:rsidR="00C31968" w:rsidRPr="006D2D0A" w:rsidRDefault="00C31968" w:rsidP="00704CC0">
            <w:pPr>
              <w:pStyle w:val="Normal-Table"/>
              <w:tabs>
                <w:tab w:val="left" w:pos="567"/>
                <w:tab w:val="left" w:pos="1134"/>
                <w:tab w:val="left" w:pos="1701"/>
                <w:tab w:val="left" w:pos="2268"/>
              </w:tabs>
              <w:jc w:val="right"/>
              <w:rPr>
                <w:sz w:val="18"/>
              </w:rPr>
            </w:pPr>
          </w:p>
        </w:tc>
      </w:tr>
      <w:tr w:rsidR="004B5A70" w:rsidRPr="006D2D0A" w:rsidTr="00562F9C">
        <w:trPr>
          <w:trHeight w:val="20"/>
        </w:trPr>
        <w:tc>
          <w:tcPr>
            <w:tcW w:w="245" w:type="pct"/>
            <w:tcBorders>
              <w:top w:val="nil"/>
              <w:left w:val="nil"/>
              <w:bottom w:val="nil"/>
              <w:right w:val="nil"/>
            </w:tcBorders>
            <w:shd w:val="clear" w:color="auto" w:fill="auto"/>
            <w:noWrap/>
            <w:vAlign w:val="bottom"/>
          </w:tcPr>
          <w:p w:rsidR="004B5A70" w:rsidRPr="006D2D0A" w:rsidRDefault="004B5A70"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4B5A70" w:rsidRPr="006D2D0A" w:rsidRDefault="004B5A70" w:rsidP="00704CC0">
            <w:pPr>
              <w:pStyle w:val="Normal-Table"/>
              <w:tabs>
                <w:tab w:val="left" w:pos="567"/>
                <w:tab w:val="left" w:pos="1134"/>
                <w:tab w:val="left" w:pos="1701"/>
                <w:tab w:val="left" w:pos="2268"/>
              </w:tabs>
              <w:rPr>
                <w:sz w:val="18"/>
              </w:rPr>
            </w:pPr>
            <w:r w:rsidRPr="006D2D0A">
              <w:rPr>
                <w:sz w:val="18"/>
              </w:rPr>
              <w:t xml:space="preserve">Loss before tax  </w:t>
            </w:r>
          </w:p>
        </w:tc>
        <w:tc>
          <w:tcPr>
            <w:tcW w:w="748" w:type="pct"/>
            <w:tcBorders>
              <w:top w:val="nil"/>
              <w:left w:val="nil"/>
              <w:bottom w:val="nil"/>
              <w:right w:val="nil"/>
            </w:tcBorders>
            <w:shd w:val="clear" w:color="auto" w:fill="auto"/>
            <w:noWrap/>
            <w:vAlign w:val="bottom"/>
          </w:tcPr>
          <w:p w:rsidR="004B5A70" w:rsidRPr="006D2D0A" w:rsidRDefault="008F0EE3" w:rsidP="00704CC0">
            <w:pPr>
              <w:pStyle w:val="Normal-Table"/>
              <w:tabs>
                <w:tab w:val="left" w:pos="567"/>
                <w:tab w:val="left" w:pos="1134"/>
                <w:tab w:val="left" w:pos="1701"/>
                <w:tab w:val="left" w:pos="2268"/>
              </w:tabs>
              <w:jc w:val="right"/>
              <w:rPr>
                <w:b/>
                <w:sz w:val="18"/>
              </w:rPr>
            </w:pPr>
            <w:r w:rsidRPr="006D2D0A">
              <w:rPr>
                <w:b/>
                <w:sz w:val="18"/>
              </w:rPr>
              <w:t>(3,859)</w:t>
            </w:r>
          </w:p>
        </w:tc>
        <w:tc>
          <w:tcPr>
            <w:tcW w:w="748" w:type="pct"/>
            <w:gridSpan w:val="2"/>
            <w:tcBorders>
              <w:top w:val="nil"/>
              <w:left w:val="nil"/>
              <w:bottom w:val="nil"/>
              <w:right w:val="nil"/>
            </w:tcBorders>
            <w:shd w:val="clear" w:color="auto" w:fill="auto"/>
            <w:noWrap/>
            <w:vAlign w:val="bottom"/>
          </w:tcPr>
          <w:p w:rsidR="004B5A70" w:rsidRPr="006D2D0A" w:rsidRDefault="004B5A70" w:rsidP="00704CC0">
            <w:pPr>
              <w:pStyle w:val="Normal-Table"/>
              <w:tabs>
                <w:tab w:val="left" w:pos="567"/>
                <w:tab w:val="left" w:pos="1134"/>
                <w:tab w:val="left" w:pos="1701"/>
                <w:tab w:val="left" w:pos="2268"/>
              </w:tabs>
              <w:jc w:val="right"/>
              <w:rPr>
                <w:sz w:val="18"/>
              </w:rPr>
            </w:pPr>
            <w:r w:rsidRPr="006D2D0A">
              <w:rPr>
                <w:sz w:val="18"/>
              </w:rPr>
              <w:t>(4,234)</w:t>
            </w:r>
          </w:p>
        </w:tc>
        <w:tc>
          <w:tcPr>
            <w:tcW w:w="748" w:type="pct"/>
            <w:gridSpan w:val="2"/>
            <w:tcBorders>
              <w:top w:val="nil"/>
              <w:left w:val="nil"/>
              <w:bottom w:val="nil"/>
              <w:right w:val="nil"/>
            </w:tcBorders>
            <w:shd w:val="clear" w:color="auto" w:fill="auto"/>
            <w:noWrap/>
            <w:vAlign w:val="bottom"/>
          </w:tcPr>
          <w:p w:rsidR="004B5A70" w:rsidRPr="006D2D0A" w:rsidRDefault="008F0EE3" w:rsidP="00704CC0">
            <w:pPr>
              <w:pStyle w:val="Normal-Table"/>
              <w:tabs>
                <w:tab w:val="left" w:pos="567"/>
                <w:tab w:val="left" w:pos="1134"/>
                <w:tab w:val="left" w:pos="1701"/>
                <w:tab w:val="left" w:pos="2268"/>
              </w:tabs>
              <w:jc w:val="right"/>
              <w:rPr>
                <w:b/>
                <w:sz w:val="18"/>
              </w:rPr>
            </w:pPr>
            <w:r w:rsidRPr="006D2D0A">
              <w:rPr>
                <w:b/>
                <w:sz w:val="18"/>
              </w:rPr>
              <w:t>(4,0</w:t>
            </w:r>
            <w:r w:rsidR="00F81E40" w:rsidRPr="006D2D0A">
              <w:rPr>
                <w:b/>
                <w:sz w:val="18"/>
              </w:rPr>
              <w:t>5</w:t>
            </w:r>
            <w:r w:rsidR="00E616FD" w:rsidRPr="006D2D0A">
              <w:rPr>
                <w:b/>
                <w:sz w:val="18"/>
              </w:rPr>
              <w:t>2</w:t>
            </w:r>
            <w:r w:rsidRPr="006D2D0A">
              <w:rPr>
                <w:b/>
                <w:sz w:val="18"/>
              </w:rPr>
              <w:t>)</w:t>
            </w:r>
          </w:p>
        </w:tc>
        <w:tc>
          <w:tcPr>
            <w:tcW w:w="749" w:type="pct"/>
            <w:gridSpan w:val="2"/>
            <w:tcBorders>
              <w:top w:val="nil"/>
              <w:left w:val="nil"/>
              <w:bottom w:val="nil"/>
              <w:right w:val="nil"/>
            </w:tcBorders>
            <w:shd w:val="clear" w:color="auto" w:fill="auto"/>
            <w:noWrap/>
            <w:vAlign w:val="bottom"/>
          </w:tcPr>
          <w:p w:rsidR="004B5A70" w:rsidRPr="006D2D0A" w:rsidRDefault="004B5A70" w:rsidP="00704CC0">
            <w:pPr>
              <w:pStyle w:val="Normal-Table"/>
              <w:tabs>
                <w:tab w:val="left" w:pos="567"/>
                <w:tab w:val="left" w:pos="1134"/>
                <w:tab w:val="left" w:pos="1701"/>
                <w:tab w:val="left" w:pos="2268"/>
              </w:tabs>
              <w:jc w:val="right"/>
              <w:rPr>
                <w:sz w:val="18"/>
              </w:rPr>
            </w:pPr>
            <w:r w:rsidRPr="006D2D0A">
              <w:rPr>
                <w:sz w:val="18"/>
              </w:rPr>
              <w:t>(3,522)</w:t>
            </w:r>
          </w:p>
        </w:tc>
      </w:tr>
      <w:tr w:rsidR="004B5A70" w:rsidRPr="006D2D0A" w:rsidTr="00562F9C">
        <w:trPr>
          <w:trHeight w:val="20"/>
        </w:trPr>
        <w:tc>
          <w:tcPr>
            <w:tcW w:w="245" w:type="pct"/>
            <w:tcBorders>
              <w:top w:val="nil"/>
              <w:left w:val="nil"/>
              <w:bottom w:val="nil"/>
              <w:right w:val="nil"/>
            </w:tcBorders>
            <w:shd w:val="clear" w:color="auto" w:fill="auto"/>
            <w:noWrap/>
            <w:vAlign w:val="bottom"/>
          </w:tcPr>
          <w:p w:rsidR="004B5A70" w:rsidRPr="006D2D0A" w:rsidRDefault="004B5A70"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4B5A70" w:rsidRPr="006D2D0A" w:rsidRDefault="004B5A70" w:rsidP="00704CC0">
            <w:pPr>
              <w:pStyle w:val="Normal-Table"/>
              <w:tabs>
                <w:tab w:val="left" w:pos="567"/>
                <w:tab w:val="left" w:pos="1134"/>
                <w:tab w:val="left" w:pos="1701"/>
                <w:tab w:val="left" w:pos="2268"/>
              </w:tabs>
              <w:rPr>
                <w:b/>
                <w:sz w:val="18"/>
              </w:rPr>
            </w:pPr>
            <w:r w:rsidRPr="006D2D0A">
              <w:rPr>
                <w:b/>
                <w:sz w:val="18"/>
              </w:rPr>
              <w:t xml:space="preserve">Adjustments for : </w:t>
            </w:r>
          </w:p>
        </w:tc>
        <w:tc>
          <w:tcPr>
            <w:tcW w:w="748" w:type="pct"/>
            <w:tcBorders>
              <w:top w:val="nil"/>
              <w:left w:val="nil"/>
              <w:bottom w:val="nil"/>
              <w:right w:val="nil"/>
            </w:tcBorders>
            <w:shd w:val="clear" w:color="auto" w:fill="auto"/>
            <w:noWrap/>
            <w:vAlign w:val="bottom"/>
          </w:tcPr>
          <w:p w:rsidR="004B5A70" w:rsidRPr="006D2D0A" w:rsidRDefault="004B5A70" w:rsidP="00704CC0">
            <w:pPr>
              <w:pStyle w:val="Normal-Table"/>
              <w:tabs>
                <w:tab w:val="left" w:pos="567"/>
                <w:tab w:val="left" w:pos="1134"/>
                <w:tab w:val="left" w:pos="1701"/>
                <w:tab w:val="left" w:pos="2268"/>
              </w:tabs>
              <w:jc w:val="right"/>
              <w:rPr>
                <w:b/>
                <w:sz w:val="18"/>
              </w:rPr>
            </w:pPr>
          </w:p>
        </w:tc>
        <w:tc>
          <w:tcPr>
            <w:tcW w:w="748" w:type="pct"/>
            <w:gridSpan w:val="2"/>
            <w:tcBorders>
              <w:top w:val="nil"/>
              <w:left w:val="nil"/>
              <w:bottom w:val="nil"/>
              <w:right w:val="nil"/>
            </w:tcBorders>
            <w:shd w:val="clear" w:color="auto" w:fill="auto"/>
            <w:noWrap/>
            <w:vAlign w:val="bottom"/>
          </w:tcPr>
          <w:p w:rsidR="004B5A70" w:rsidRPr="006D2D0A" w:rsidRDefault="004B5A70" w:rsidP="00704CC0">
            <w:pPr>
              <w:pStyle w:val="Normal-Table"/>
              <w:tabs>
                <w:tab w:val="left" w:pos="567"/>
                <w:tab w:val="left" w:pos="1134"/>
                <w:tab w:val="left" w:pos="1701"/>
                <w:tab w:val="left" w:pos="2268"/>
              </w:tabs>
              <w:jc w:val="right"/>
              <w:rPr>
                <w:sz w:val="18"/>
              </w:rPr>
            </w:pPr>
          </w:p>
        </w:tc>
        <w:tc>
          <w:tcPr>
            <w:tcW w:w="748" w:type="pct"/>
            <w:gridSpan w:val="2"/>
            <w:tcBorders>
              <w:top w:val="nil"/>
              <w:left w:val="nil"/>
              <w:bottom w:val="nil"/>
              <w:right w:val="nil"/>
            </w:tcBorders>
            <w:shd w:val="clear" w:color="auto" w:fill="auto"/>
            <w:noWrap/>
            <w:vAlign w:val="bottom"/>
          </w:tcPr>
          <w:p w:rsidR="004B5A70" w:rsidRPr="006D2D0A" w:rsidRDefault="004B5A70" w:rsidP="00704CC0">
            <w:pPr>
              <w:pStyle w:val="Normal-Table"/>
              <w:tabs>
                <w:tab w:val="left" w:pos="567"/>
                <w:tab w:val="left" w:pos="1134"/>
                <w:tab w:val="left" w:pos="1701"/>
                <w:tab w:val="left" w:pos="2268"/>
              </w:tabs>
              <w:jc w:val="right"/>
              <w:rPr>
                <w:b/>
                <w:sz w:val="18"/>
              </w:rPr>
            </w:pPr>
          </w:p>
        </w:tc>
        <w:tc>
          <w:tcPr>
            <w:tcW w:w="749" w:type="pct"/>
            <w:gridSpan w:val="2"/>
            <w:tcBorders>
              <w:top w:val="nil"/>
              <w:left w:val="nil"/>
              <w:bottom w:val="nil"/>
              <w:right w:val="nil"/>
            </w:tcBorders>
            <w:shd w:val="clear" w:color="auto" w:fill="auto"/>
            <w:noWrap/>
            <w:vAlign w:val="bottom"/>
          </w:tcPr>
          <w:p w:rsidR="004B5A70" w:rsidRPr="006D2D0A" w:rsidRDefault="004B5A70" w:rsidP="00704CC0">
            <w:pPr>
              <w:pStyle w:val="Normal-Table"/>
              <w:tabs>
                <w:tab w:val="left" w:pos="567"/>
                <w:tab w:val="left" w:pos="1134"/>
                <w:tab w:val="left" w:pos="1701"/>
                <w:tab w:val="left" w:pos="2268"/>
              </w:tabs>
              <w:jc w:val="right"/>
              <w:rPr>
                <w:sz w:val="18"/>
              </w:rPr>
            </w:pPr>
          </w:p>
        </w:tc>
      </w:tr>
      <w:tr w:rsidR="004B5A70" w:rsidRPr="006D2D0A" w:rsidTr="00562F9C">
        <w:trPr>
          <w:trHeight w:val="20"/>
        </w:trPr>
        <w:tc>
          <w:tcPr>
            <w:tcW w:w="245" w:type="pct"/>
            <w:tcBorders>
              <w:top w:val="nil"/>
              <w:left w:val="nil"/>
              <w:bottom w:val="nil"/>
              <w:right w:val="nil"/>
            </w:tcBorders>
            <w:shd w:val="clear" w:color="auto" w:fill="auto"/>
            <w:noWrap/>
            <w:vAlign w:val="bottom"/>
          </w:tcPr>
          <w:p w:rsidR="004B5A70" w:rsidRPr="006D2D0A" w:rsidRDefault="004B5A70"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4B5A70" w:rsidRPr="006D2D0A" w:rsidRDefault="004B5A70" w:rsidP="00704CC0">
            <w:pPr>
              <w:pStyle w:val="Normal-Table"/>
              <w:tabs>
                <w:tab w:val="left" w:pos="567"/>
                <w:tab w:val="left" w:pos="1134"/>
                <w:tab w:val="left" w:pos="1701"/>
                <w:tab w:val="left" w:pos="2268"/>
              </w:tabs>
              <w:rPr>
                <w:sz w:val="18"/>
              </w:rPr>
            </w:pPr>
            <w:r w:rsidRPr="006D2D0A">
              <w:rPr>
                <w:sz w:val="18"/>
              </w:rPr>
              <w:t>Interest income</w:t>
            </w:r>
          </w:p>
        </w:tc>
        <w:tc>
          <w:tcPr>
            <w:tcW w:w="748" w:type="pct"/>
            <w:tcBorders>
              <w:top w:val="nil"/>
              <w:left w:val="nil"/>
              <w:bottom w:val="nil"/>
              <w:right w:val="nil"/>
            </w:tcBorders>
            <w:shd w:val="clear" w:color="auto" w:fill="auto"/>
            <w:noWrap/>
            <w:vAlign w:val="bottom"/>
          </w:tcPr>
          <w:p w:rsidR="004B5A70" w:rsidRPr="006D2D0A" w:rsidRDefault="008F0EE3" w:rsidP="00704CC0">
            <w:pPr>
              <w:pStyle w:val="Normal-Table"/>
              <w:tabs>
                <w:tab w:val="left" w:pos="567"/>
                <w:tab w:val="left" w:pos="1134"/>
                <w:tab w:val="left" w:pos="1701"/>
                <w:tab w:val="left" w:pos="2268"/>
              </w:tabs>
              <w:jc w:val="right"/>
              <w:rPr>
                <w:b/>
                <w:sz w:val="18"/>
              </w:rPr>
            </w:pPr>
            <w:r w:rsidRPr="006D2D0A">
              <w:rPr>
                <w:b/>
                <w:sz w:val="18"/>
              </w:rPr>
              <w:t>(9)</w:t>
            </w:r>
          </w:p>
        </w:tc>
        <w:tc>
          <w:tcPr>
            <w:tcW w:w="748" w:type="pct"/>
            <w:gridSpan w:val="2"/>
            <w:tcBorders>
              <w:top w:val="nil"/>
              <w:left w:val="nil"/>
              <w:bottom w:val="nil"/>
              <w:right w:val="nil"/>
            </w:tcBorders>
            <w:shd w:val="clear" w:color="auto" w:fill="auto"/>
            <w:noWrap/>
            <w:vAlign w:val="bottom"/>
          </w:tcPr>
          <w:p w:rsidR="004B5A70" w:rsidRPr="006D2D0A" w:rsidRDefault="004B5A70" w:rsidP="00704CC0">
            <w:pPr>
              <w:pStyle w:val="Normal-Table"/>
              <w:tabs>
                <w:tab w:val="left" w:pos="567"/>
                <w:tab w:val="left" w:pos="1134"/>
                <w:tab w:val="left" w:pos="1701"/>
                <w:tab w:val="left" w:pos="2268"/>
              </w:tabs>
              <w:jc w:val="right"/>
              <w:rPr>
                <w:sz w:val="18"/>
              </w:rPr>
            </w:pPr>
            <w:r w:rsidRPr="006D2D0A">
              <w:rPr>
                <w:sz w:val="18"/>
              </w:rPr>
              <w:t>(15)</w:t>
            </w:r>
          </w:p>
        </w:tc>
        <w:tc>
          <w:tcPr>
            <w:tcW w:w="748" w:type="pct"/>
            <w:gridSpan w:val="2"/>
            <w:tcBorders>
              <w:top w:val="nil"/>
              <w:left w:val="nil"/>
              <w:bottom w:val="nil"/>
              <w:right w:val="nil"/>
            </w:tcBorders>
            <w:shd w:val="clear" w:color="auto" w:fill="auto"/>
            <w:noWrap/>
            <w:vAlign w:val="bottom"/>
          </w:tcPr>
          <w:p w:rsidR="004B5A70" w:rsidRPr="006D2D0A" w:rsidRDefault="008F0EE3" w:rsidP="00704CC0">
            <w:pPr>
              <w:pStyle w:val="Normal-Table"/>
              <w:tabs>
                <w:tab w:val="left" w:pos="567"/>
                <w:tab w:val="left" w:pos="1134"/>
                <w:tab w:val="left" w:pos="1701"/>
                <w:tab w:val="left" w:pos="2268"/>
              </w:tabs>
              <w:jc w:val="right"/>
              <w:rPr>
                <w:b/>
                <w:sz w:val="18"/>
              </w:rPr>
            </w:pPr>
            <w:r w:rsidRPr="006D2D0A">
              <w:rPr>
                <w:b/>
                <w:sz w:val="18"/>
              </w:rPr>
              <w:t>(8)</w:t>
            </w:r>
          </w:p>
        </w:tc>
        <w:tc>
          <w:tcPr>
            <w:tcW w:w="749" w:type="pct"/>
            <w:gridSpan w:val="2"/>
            <w:tcBorders>
              <w:top w:val="nil"/>
              <w:left w:val="nil"/>
              <w:bottom w:val="nil"/>
              <w:right w:val="nil"/>
            </w:tcBorders>
            <w:shd w:val="clear" w:color="auto" w:fill="auto"/>
            <w:noWrap/>
            <w:vAlign w:val="bottom"/>
          </w:tcPr>
          <w:p w:rsidR="004B5A70" w:rsidRPr="006D2D0A" w:rsidRDefault="004B5A70" w:rsidP="00704CC0">
            <w:pPr>
              <w:pStyle w:val="Normal-Table"/>
              <w:tabs>
                <w:tab w:val="left" w:pos="567"/>
                <w:tab w:val="left" w:pos="1134"/>
                <w:tab w:val="left" w:pos="1701"/>
                <w:tab w:val="left" w:pos="2268"/>
              </w:tabs>
              <w:jc w:val="right"/>
              <w:rPr>
                <w:sz w:val="18"/>
              </w:rPr>
            </w:pPr>
            <w:r w:rsidRPr="006D2D0A">
              <w:rPr>
                <w:sz w:val="18"/>
              </w:rPr>
              <w:t>(15)</w:t>
            </w:r>
          </w:p>
        </w:tc>
      </w:tr>
      <w:tr w:rsidR="004B5A70" w:rsidRPr="006D2D0A" w:rsidTr="00562F9C">
        <w:trPr>
          <w:trHeight w:val="20"/>
        </w:trPr>
        <w:tc>
          <w:tcPr>
            <w:tcW w:w="245" w:type="pct"/>
            <w:tcBorders>
              <w:top w:val="nil"/>
              <w:left w:val="nil"/>
              <w:bottom w:val="nil"/>
              <w:right w:val="nil"/>
            </w:tcBorders>
            <w:shd w:val="clear" w:color="auto" w:fill="auto"/>
            <w:noWrap/>
            <w:vAlign w:val="bottom"/>
          </w:tcPr>
          <w:p w:rsidR="004B5A70" w:rsidRPr="006D2D0A" w:rsidRDefault="004B5A70"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4B5A70" w:rsidRPr="006D2D0A" w:rsidRDefault="004B5A70" w:rsidP="00704CC0">
            <w:pPr>
              <w:pStyle w:val="Normal-Table"/>
              <w:tabs>
                <w:tab w:val="left" w:pos="567"/>
                <w:tab w:val="left" w:pos="1134"/>
                <w:tab w:val="left" w:pos="1701"/>
                <w:tab w:val="left" w:pos="2268"/>
              </w:tabs>
              <w:rPr>
                <w:sz w:val="18"/>
                <w:highlight w:val="yellow"/>
              </w:rPr>
            </w:pPr>
            <w:r w:rsidRPr="006D2D0A">
              <w:rPr>
                <w:sz w:val="18"/>
              </w:rPr>
              <w:t>Dividend income</w:t>
            </w:r>
          </w:p>
        </w:tc>
        <w:tc>
          <w:tcPr>
            <w:tcW w:w="748" w:type="pct"/>
            <w:tcBorders>
              <w:top w:val="nil"/>
              <w:left w:val="nil"/>
              <w:bottom w:val="nil"/>
              <w:right w:val="nil"/>
            </w:tcBorders>
            <w:shd w:val="clear" w:color="auto" w:fill="auto"/>
            <w:noWrap/>
            <w:vAlign w:val="bottom"/>
          </w:tcPr>
          <w:p w:rsidR="004B5A70" w:rsidRPr="006D2D0A" w:rsidRDefault="00830503" w:rsidP="00704CC0">
            <w:pPr>
              <w:pStyle w:val="Normal-Table"/>
              <w:tabs>
                <w:tab w:val="left" w:pos="567"/>
                <w:tab w:val="left" w:pos="1134"/>
                <w:tab w:val="left" w:pos="1701"/>
                <w:tab w:val="left" w:pos="2268"/>
              </w:tabs>
              <w:jc w:val="right"/>
              <w:rPr>
                <w:b/>
                <w:sz w:val="18"/>
              </w:rPr>
            </w:pPr>
            <w:r w:rsidRPr="006D2D0A">
              <w:rPr>
                <w:b/>
                <w:sz w:val="18"/>
              </w:rPr>
              <w:t>-</w:t>
            </w:r>
          </w:p>
        </w:tc>
        <w:tc>
          <w:tcPr>
            <w:tcW w:w="748" w:type="pct"/>
            <w:gridSpan w:val="2"/>
            <w:tcBorders>
              <w:top w:val="nil"/>
              <w:left w:val="nil"/>
              <w:bottom w:val="nil"/>
              <w:right w:val="nil"/>
            </w:tcBorders>
            <w:shd w:val="clear" w:color="auto" w:fill="auto"/>
            <w:noWrap/>
            <w:vAlign w:val="bottom"/>
          </w:tcPr>
          <w:p w:rsidR="004B5A70" w:rsidRPr="006D2D0A" w:rsidRDefault="004B5A70" w:rsidP="00704CC0">
            <w:pPr>
              <w:pStyle w:val="Normal-Table"/>
              <w:tabs>
                <w:tab w:val="left" w:pos="567"/>
                <w:tab w:val="left" w:pos="1134"/>
                <w:tab w:val="left" w:pos="1701"/>
                <w:tab w:val="left" w:pos="2268"/>
              </w:tabs>
              <w:jc w:val="right"/>
              <w:rPr>
                <w:sz w:val="18"/>
              </w:rPr>
            </w:pPr>
            <w:r w:rsidRPr="006D2D0A">
              <w:rPr>
                <w:sz w:val="18"/>
              </w:rPr>
              <w:t>(85)</w:t>
            </w:r>
          </w:p>
        </w:tc>
        <w:tc>
          <w:tcPr>
            <w:tcW w:w="748" w:type="pct"/>
            <w:gridSpan w:val="2"/>
            <w:tcBorders>
              <w:top w:val="nil"/>
              <w:left w:val="nil"/>
              <w:bottom w:val="nil"/>
              <w:right w:val="nil"/>
            </w:tcBorders>
            <w:shd w:val="clear" w:color="auto" w:fill="auto"/>
            <w:noWrap/>
            <w:vAlign w:val="bottom"/>
          </w:tcPr>
          <w:p w:rsidR="004B5A70" w:rsidRPr="006D2D0A" w:rsidRDefault="008F0EE3" w:rsidP="00704CC0">
            <w:pPr>
              <w:pStyle w:val="Normal-Table"/>
              <w:tabs>
                <w:tab w:val="left" w:pos="567"/>
                <w:tab w:val="left" w:pos="1134"/>
                <w:tab w:val="left" w:pos="1701"/>
                <w:tab w:val="left" w:pos="2268"/>
              </w:tabs>
              <w:jc w:val="right"/>
              <w:rPr>
                <w:b/>
                <w:sz w:val="18"/>
              </w:rPr>
            </w:pPr>
            <w:r w:rsidRPr="006D2D0A">
              <w:rPr>
                <w:b/>
                <w:sz w:val="18"/>
              </w:rPr>
              <w:t>-</w:t>
            </w:r>
          </w:p>
        </w:tc>
        <w:tc>
          <w:tcPr>
            <w:tcW w:w="749" w:type="pct"/>
            <w:gridSpan w:val="2"/>
            <w:tcBorders>
              <w:top w:val="nil"/>
              <w:left w:val="nil"/>
              <w:bottom w:val="nil"/>
              <w:right w:val="nil"/>
            </w:tcBorders>
            <w:shd w:val="clear" w:color="auto" w:fill="auto"/>
            <w:noWrap/>
            <w:vAlign w:val="bottom"/>
          </w:tcPr>
          <w:p w:rsidR="004B5A70" w:rsidRPr="006D2D0A" w:rsidRDefault="004B5A70" w:rsidP="00704CC0">
            <w:pPr>
              <w:pStyle w:val="Normal-Table"/>
              <w:tabs>
                <w:tab w:val="left" w:pos="567"/>
                <w:tab w:val="left" w:pos="1134"/>
                <w:tab w:val="left" w:pos="1701"/>
                <w:tab w:val="left" w:pos="2268"/>
              </w:tabs>
              <w:jc w:val="right"/>
              <w:rPr>
                <w:sz w:val="18"/>
              </w:rPr>
            </w:pPr>
            <w:r w:rsidRPr="006D2D0A">
              <w:rPr>
                <w:sz w:val="18"/>
              </w:rPr>
              <w:t>-</w:t>
            </w:r>
          </w:p>
        </w:tc>
      </w:tr>
      <w:tr w:rsidR="004B5A70" w:rsidRPr="006D2D0A" w:rsidTr="00562F9C">
        <w:trPr>
          <w:trHeight w:val="20"/>
        </w:trPr>
        <w:tc>
          <w:tcPr>
            <w:tcW w:w="245" w:type="pct"/>
            <w:tcBorders>
              <w:top w:val="nil"/>
              <w:left w:val="nil"/>
              <w:bottom w:val="nil"/>
              <w:right w:val="nil"/>
            </w:tcBorders>
            <w:shd w:val="clear" w:color="auto" w:fill="auto"/>
            <w:noWrap/>
            <w:vAlign w:val="bottom"/>
          </w:tcPr>
          <w:p w:rsidR="004B5A70" w:rsidRPr="006D2D0A" w:rsidRDefault="004B5A70"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4B5A70" w:rsidRPr="006D2D0A" w:rsidRDefault="004B5A70" w:rsidP="00704CC0">
            <w:pPr>
              <w:pStyle w:val="Normal-Table"/>
              <w:tabs>
                <w:tab w:val="left" w:pos="567"/>
                <w:tab w:val="left" w:pos="1134"/>
                <w:tab w:val="left" w:pos="1701"/>
                <w:tab w:val="left" w:pos="2268"/>
              </w:tabs>
              <w:rPr>
                <w:sz w:val="18"/>
              </w:rPr>
            </w:pPr>
            <w:r w:rsidRPr="006D2D0A">
              <w:rPr>
                <w:sz w:val="18"/>
              </w:rPr>
              <w:t>Net unrealised losses on investments</w:t>
            </w:r>
          </w:p>
        </w:tc>
        <w:tc>
          <w:tcPr>
            <w:tcW w:w="748" w:type="pct"/>
            <w:tcBorders>
              <w:top w:val="nil"/>
              <w:left w:val="nil"/>
              <w:bottom w:val="nil"/>
              <w:right w:val="nil"/>
            </w:tcBorders>
            <w:shd w:val="clear" w:color="auto" w:fill="auto"/>
            <w:noWrap/>
            <w:vAlign w:val="bottom"/>
          </w:tcPr>
          <w:p w:rsidR="004B5A70" w:rsidRPr="006D2D0A" w:rsidRDefault="008F0EE3" w:rsidP="00704CC0">
            <w:pPr>
              <w:pStyle w:val="Normal-Table"/>
              <w:tabs>
                <w:tab w:val="left" w:pos="567"/>
                <w:tab w:val="left" w:pos="1134"/>
                <w:tab w:val="left" w:pos="1701"/>
                <w:tab w:val="left" w:pos="2268"/>
              </w:tabs>
              <w:jc w:val="right"/>
              <w:rPr>
                <w:b/>
                <w:sz w:val="18"/>
              </w:rPr>
            </w:pPr>
            <w:r w:rsidRPr="006D2D0A">
              <w:rPr>
                <w:b/>
                <w:sz w:val="18"/>
              </w:rPr>
              <w:t>2,682</w:t>
            </w:r>
          </w:p>
        </w:tc>
        <w:tc>
          <w:tcPr>
            <w:tcW w:w="748" w:type="pct"/>
            <w:gridSpan w:val="2"/>
            <w:tcBorders>
              <w:top w:val="nil"/>
              <w:left w:val="nil"/>
              <w:bottom w:val="nil"/>
              <w:right w:val="nil"/>
            </w:tcBorders>
            <w:shd w:val="clear" w:color="auto" w:fill="auto"/>
            <w:noWrap/>
            <w:vAlign w:val="bottom"/>
          </w:tcPr>
          <w:p w:rsidR="004B5A70" w:rsidRPr="006D2D0A" w:rsidRDefault="004B5A70" w:rsidP="00704CC0">
            <w:pPr>
              <w:pStyle w:val="Normal-Table"/>
              <w:tabs>
                <w:tab w:val="left" w:pos="567"/>
                <w:tab w:val="left" w:pos="1134"/>
                <w:tab w:val="left" w:pos="1701"/>
                <w:tab w:val="left" w:pos="2268"/>
              </w:tabs>
              <w:jc w:val="right"/>
              <w:rPr>
                <w:sz w:val="18"/>
              </w:rPr>
            </w:pPr>
            <w:r w:rsidRPr="006D2D0A">
              <w:rPr>
                <w:sz w:val="18"/>
              </w:rPr>
              <w:t>3,038</w:t>
            </w:r>
          </w:p>
        </w:tc>
        <w:tc>
          <w:tcPr>
            <w:tcW w:w="748" w:type="pct"/>
            <w:gridSpan w:val="2"/>
            <w:tcBorders>
              <w:top w:val="nil"/>
              <w:left w:val="nil"/>
              <w:bottom w:val="nil"/>
              <w:right w:val="nil"/>
            </w:tcBorders>
            <w:shd w:val="clear" w:color="auto" w:fill="auto"/>
            <w:noWrap/>
            <w:vAlign w:val="bottom"/>
          </w:tcPr>
          <w:p w:rsidR="004B5A70" w:rsidRPr="006D2D0A" w:rsidRDefault="008F0EE3" w:rsidP="00704CC0">
            <w:pPr>
              <w:pStyle w:val="Normal-Table"/>
              <w:tabs>
                <w:tab w:val="left" w:pos="567"/>
                <w:tab w:val="left" w:pos="1134"/>
                <w:tab w:val="left" w:pos="1701"/>
                <w:tab w:val="left" w:pos="2268"/>
              </w:tabs>
              <w:jc w:val="right"/>
              <w:rPr>
                <w:b/>
                <w:sz w:val="18"/>
              </w:rPr>
            </w:pPr>
            <w:r w:rsidRPr="006D2D0A">
              <w:rPr>
                <w:b/>
                <w:sz w:val="18"/>
              </w:rPr>
              <w:t>-</w:t>
            </w:r>
          </w:p>
        </w:tc>
        <w:tc>
          <w:tcPr>
            <w:tcW w:w="749" w:type="pct"/>
            <w:gridSpan w:val="2"/>
            <w:tcBorders>
              <w:top w:val="nil"/>
              <w:left w:val="nil"/>
              <w:bottom w:val="nil"/>
              <w:right w:val="nil"/>
            </w:tcBorders>
            <w:shd w:val="clear" w:color="auto" w:fill="auto"/>
            <w:noWrap/>
            <w:vAlign w:val="bottom"/>
          </w:tcPr>
          <w:p w:rsidR="004B5A70" w:rsidRPr="006D2D0A" w:rsidRDefault="004B5A70" w:rsidP="00704CC0">
            <w:pPr>
              <w:pStyle w:val="Normal-Table"/>
              <w:tabs>
                <w:tab w:val="left" w:pos="567"/>
                <w:tab w:val="left" w:pos="1134"/>
                <w:tab w:val="left" w:pos="1701"/>
                <w:tab w:val="left" w:pos="2268"/>
              </w:tabs>
              <w:jc w:val="right"/>
              <w:rPr>
                <w:sz w:val="18"/>
              </w:rPr>
            </w:pPr>
            <w:r w:rsidRPr="006D2D0A">
              <w:rPr>
                <w:sz w:val="18"/>
              </w:rPr>
              <w:t>-</w:t>
            </w:r>
          </w:p>
        </w:tc>
      </w:tr>
      <w:tr w:rsidR="004B5A70" w:rsidRPr="006D2D0A" w:rsidTr="00562F9C">
        <w:trPr>
          <w:trHeight w:val="20"/>
        </w:trPr>
        <w:tc>
          <w:tcPr>
            <w:tcW w:w="245" w:type="pct"/>
            <w:tcBorders>
              <w:top w:val="nil"/>
              <w:left w:val="nil"/>
              <w:bottom w:val="nil"/>
              <w:right w:val="nil"/>
            </w:tcBorders>
            <w:shd w:val="clear" w:color="auto" w:fill="auto"/>
            <w:noWrap/>
            <w:vAlign w:val="bottom"/>
          </w:tcPr>
          <w:p w:rsidR="004B5A70" w:rsidRPr="006D2D0A" w:rsidRDefault="004B5A70"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4B5A70" w:rsidRPr="006D2D0A" w:rsidRDefault="004B5A70" w:rsidP="00704CC0">
            <w:pPr>
              <w:pStyle w:val="Normal-Table"/>
              <w:tabs>
                <w:tab w:val="left" w:pos="567"/>
                <w:tab w:val="left" w:pos="1134"/>
                <w:tab w:val="left" w:pos="1701"/>
                <w:tab w:val="left" w:pos="2268"/>
              </w:tabs>
              <w:rPr>
                <w:sz w:val="18"/>
              </w:rPr>
            </w:pPr>
            <w:r w:rsidRPr="006D2D0A">
              <w:rPr>
                <w:sz w:val="18"/>
              </w:rPr>
              <w:t>Loss on sale of investments</w:t>
            </w:r>
          </w:p>
        </w:tc>
        <w:tc>
          <w:tcPr>
            <w:tcW w:w="748" w:type="pct"/>
            <w:tcBorders>
              <w:top w:val="nil"/>
              <w:left w:val="nil"/>
              <w:right w:val="nil"/>
            </w:tcBorders>
            <w:shd w:val="clear" w:color="auto" w:fill="auto"/>
            <w:noWrap/>
            <w:vAlign w:val="bottom"/>
          </w:tcPr>
          <w:p w:rsidR="004B5A70" w:rsidRPr="006D2D0A" w:rsidRDefault="008F0EE3" w:rsidP="00704CC0">
            <w:pPr>
              <w:pStyle w:val="Normal-Table"/>
              <w:tabs>
                <w:tab w:val="left" w:pos="567"/>
                <w:tab w:val="left" w:pos="1134"/>
                <w:tab w:val="left" w:pos="1701"/>
                <w:tab w:val="left" w:pos="2268"/>
              </w:tabs>
              <w:jc w:val="right"/>
              <w:rPr>
                <w:b/>
                <w:sz w:val="18"/>
              </w:rPr>
            </w:pPr>
            <w:r w:rsidRPr="006D2D0A">
              <w:rPr>
                <w:b/>
                <w:sz w:val="18"/>
              </w:rPr>
              <w:t>327</w:t>
            </w:r>
          </w:p>
        </w:tc>
        <w:tc>
          <w:tcPr>
            <w:tcW w:w="748" w:type="pct"/>
            <w:gridSpan w:val="2"/>
            <w:tcBorders>
              <w:top w:val="nil"/>
              <w:left w:val="nil"/>
              <w:right w:val="nil"/>
            </w:tcBorders>
            <w:shd w:val="clear" w:color="auto" w:fill="auto"/>
            <w:noWrap/>
            <w:vAlign w:val="bottom"/>
          </w:tcPr>
          <w:p w:rsidR="004B5A70" w:rsidRPr="006D2D0A" w:rsidRDefault="004B5A70" w:rsidP="00704CC0">
            <w:pPr>
              <w:pStyle w:val="Normal-Table"/>
              <w:tabs>
                <w:tab w:val="left" w:pos="567"/>
                <w:tab w:val="left" w:pos="1134"/>
                <w:tab w:val="left" w:pos="1701"/>
                <w:tab w:val="left" w:pos="2268"/>
              </w:tabs>
              <w:jc w:val="right"/>
              <w:rPr>
                <w:sz w:val="18"/>
              </w:rPr>
            </w:pPr>
            <w:r w:rsidRPr="006D2D0A">
              <w:rPr>
                <w:sz w:val="18"/>
              </w:rPr>
              <w:t>173</w:t>
            </w:r>
          </w:p>
        </w:tc>
        <w:tc>
          <w:tcPr>
            <w:tcW w:w="748" w:type="pct"/>
            <w:gridSpan w:val="2"/>
            <w:tcBorders>
              <w:top w:val="nil"/>
              <w:left w:val="nil"/>
              <w:right w:val="nil"/>
            </w:tcBorders>
            <w:shd w:val="clear" w:color="auto" w:fill="auto"/>
            <w:noWrap/>
            <w:vAlign w:val="bottom"/>
          </w:tcPr>
          <w:p w:rsidR="004B5A70" w:rsidRPr="006D2D0A" w:rsidRDefault="00943427" w:rsidP="00704CC0">
            <w:pPr>
              <w:pStyle w:val="Normal-Table"/>
              <w:tabs>
                <w:tab w:val="left" w:pos="567"/>
                <w:tab w:val="left" w:pos="1134"/>
                <w:tab w:val="left" w:pos="1701"/>
                <w:tab w:val="left" w:pos="2268"/>
              </w:tabs>
              <w:jc w:val="right"/>
              <w:rPr>
                <w:b/>
                <w:sz w:val="18"/>
              </w:rPr>
            </w:pPr>
            <w:r w:rsidRPr="006D2D0A">
              <w:rPr>
                <w:b/>
                <w:sz w:val="18"/>
              </w:rPr>
              <w:t>-</w:t>
            </w:r>
          </w:p>
        </w:tc>
        <w:tc>
          <w:tcPr>
            <w:tcW w:w="749" w:type="pct"/>
            <w:gridSpan w:val="2"/>
            <w:tcBorders>
              <w:top w:val="nil"/>
              <w:left w:val="nil"/>
              <w:right w:val="nil"/>
            </w:tcBorders>
            <w:shd w:val="clear" w:color="auto" w:fill="auto"/>
            <w:noWrap/>
            <w:vAlign w:val="bottom"/>
          </w:tcPr>
          <w:p w:rsidR="004B5A70" w:rsidRPr="006D2D0A" w:rsidRDefault="004B5A70" w:rsidP="00704CC0">
            <w:pPr>
              <w:pStyle w:val="Normal-Table"/>
              <w:tabs>
                <w:tab w:val="left" w:pos="567"/>
                <w:tab w:val="left" w:pos="1134"/>
                <w:tab w:val="left" w:pos="1701"/>
                <w:tab w:val="left" w:pos="2268"/>
              </w:tabs>
              <w:jc w:val="right"/>
              <w:rPr>
                <w:sz w:val="18"/>
              </w:rPr>
            </w:pPr>
            <w:r w:rsidRPr="006D2D0A">
              <w:rPr>
                <w:sz w:val="18"/>
              </w:rPr>
              <w:t>-</w:t>
            </w:r>
          </w:p>
        </w:tc>
      </w:tr>
      <w:tr w:rsidR="00FA0359" w:rsidRPr="006D2D0A" w:rsidTr="00562F9C">
        <w:trPr>
          <w:trHeight w:val="20"/>
        </w:trPr>
        <w:tc>
          <w:tcPr>
            <w:tcW w:w="245" w:type="pct"/>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FA0359" w:rsidRPr="006D2D0A" w:rsidRDefault="00E06D79" w:rsidP="00704CC0">
            <w:pPr>
              <w:pStyle w:val="Normal-Table"/>
              <w:tabs>
                <w:tab w:val="left" w:pos="567"/>
                <w:tab w:val="left" w:pos="1134"/>
                <w:tab w:val="left" w:pos="1701"/>
                <w:tab w:val="left" w:pos="2268"/>
              </w:tabs>
              <w:rPr>
                <w:sz w:val="18"/>
              </w:rPr>
            </w:pPr>
            <w:r w:rsidRPr="006D2D0A">
              <w:rPr>
                <w:sz w:val="18"/>
              </w:rPr>
              <w:t>I</w:t>
            </w:r>
            <w:r w:rsidR="00FA0359" w:rsidRPr="006D2D0A">
              <w:rPr>
                <w:sz w:val="18"/>
              </w:rPr>
              <w:t>mpairment loss</w:t>
            </w:r>
            <w:r w:rsidR="00196B8D" w:rsidRPr="006D2D0A">
              <w:rPr>
                <w:sz w:val="18"/>
              </w:rPr>
              <w:t>/(reversal)</w:t>
            </w:r>
            <w:r w:rsidR="00FA0359" w:rsidRPr="006D2D0A">
              <w:rPr>
                <w:sz w:val="18"/>
              </w:rPr>
              <w:t xml:space="preserve"> o</w:t>
            </w:r>
            <w:r w:rsidRPr="006D2D0A">
              <w:rPr>
                <w:sz w:val="18"/>
              </w:rPr>
              <w:t>n</w:t>
            </w:r>
            <w:r w:rsidR="00FA0359" w:rsidRPr="006D2D0A">
              <w:rPr>
                <w:sz w:val="18"/>
              </w:rPr>
              <w:t xml:space="preserve"> loans to subsidiaries</w:t>
            </w:r>
          </w:p>
        </w:tc>
        <w:tc>
          <w:tcPr>
            <w:tcW w:w="748" w:type="pct"/>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w:t>
            </w:r>
          </w:p>
        </w:tc>
        <w:tc>
          <w:tcPr>
            <w:tcW w:w="748" w:type="pct"/>
            <w:gridSpan w:val="2"/>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w:t>
            </w:r>
          </w:p>
        </w:tc>
        <w:tc>
          <w:tcPr>
            <w:tcW w:w="748" w:type="pct"/>
            <w:gridSpan w:val="2"/>
            <w:tcBorders>
              <w:top w:val="nil"/>
              <w:left w:val="nil"/>
              <w:right w:val="nil"/>
            </w:tcBorders>
            <w:shd w:val="clear" w:color="auto" w:fill="auto"/>
            <w:noWrap/>
            <w:vAlign w:val="bottom"/>
          </w:tcPr>
          <w:p w:rsidR="00FA0359" w:rsidRPr="006D2D0A" w:rsidRDefault="00F81E40" w:rsidP="00704CC0">
            <w:pPr>
              <w:pStyle w:val="Normal-Table"/>
              <w:tabs>
                <w:tab w:val="left" w:pos="567"/>
                <w:tab w:val="left" w:pos="1134"/>
                <w:tab w:val="left" w:pos="1701"/>
                <w:tab w:val="left" w:pos="2268"/>
              </w:tabs>
              <w:jc w:val="right"/>
              <w:rPr>
                <w:b/>
                <w:sz w:val="18"/>
              </w:rPr>
            </w:pPr>
            <w:r w:rsidRPr="006D2D0A">
              <w:rPr>
                <w:b/>
                <w:sz w:val="18"/>
              </w:rPr>
              <w:t>2,717</w:t>
            </w:r>
          </w:p>
        </w:tc>
        <w:tc>
          <w:tcPr>
            <w:tcW w:w="749" w:type="pct"/>
            <w:gridSpan w:val="2"/>
            <w:tcBorders>
              <w:top w:val="nil"/>
              <w:left w:val="nil"/>
              <w:right w:val="nil"/>
            </w:tcBorders>
            <w:shd w:val="clear" w:color="auto" w:fill="auto"/>
            <w:noWrap/>
            <w:vAlign w:val="bottom"/>
          </w:tcPr>
          <w:p w:rsidR="00FA0359" w:rsidRPr="006D2D0A" w:rsidRDefault="00F356EB" w:rsidP="00704CC0">
            <w:pPr>
              <w:pStyle w:val="Normal-Table"/>
              <w:tabs>
                <w:tab w:val="left" w:pos="567"/>
                <w:tab w:val="left" w:pos="1134"/>
                <w:tab w:val="left" w:pos="1701"/>
                <w:tab w:val="left" w:pos="2268"/>
              </w:tabs>
              <w:jc w:val="right"/>
              <w:rPr>
                <w:sz w:val="18"/>
              </w:rPr>
            </w:pPr>
            <w:r w:rsidRPr="006D2D0A">
              <w:rPr>
                <w:sz w:val="18"/>
              </w:rPr>
              <w:t>(377)</w:t>
            </w:r>
          </w:p>
        </w:tc>
      </w:tr>
      <w:tr w:rsidR="00FA0359" w:rsidRPr="006D2D0A" w:rsidTr="00562F9C">
        <w:trPr>
          <w:trHeight w:val="20"/>
        </w:trPr>
        <w:tc>
          <w:tcPr>
            <w:tcW w:w="245" w:type="pct"/>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FA0359" w:rsidRPr="006D2D0A" w:rsidRDefault="00FA0359" w:rsidP="00704CC0">
            <w:pPr>
              <w:pStyle w:val="Normal-Table"/>
              <w:tabs>
                <w:tab w:val="left" w:pos="567"/>
                <w:tab w:val="left" w:pos="1134"/>
                <w:tab w:val="left" w:pos="1701"/>
                <w:tab w:val="left" w:pos="2268"/>
              </w:tabs>
              <w:rPr>
                <w:sz w:val="18"/>
              </w:rPr>
            </w:pPr>
            <w:r w:rsidRPr="006D2D0A">
              <w:rPr>
                <w:sz w:val="18"/>
              </w:rPr>
              <w:t>Impairment of investments in subsidiaries</w:t>
            </w:r>
          </w:p>
        </w:tc>
        <w:tc>
          <w:tcPr>
            <w:tcW w:w="748" w:type="pct"/>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w:t>
            </w:r>
          </w:p>
        </w:tc>
        <w:tc>
          <w:tcPr>
            <w:tcW w:w="748" w:type="pct"/>
            <w:gridSpan w:val="2"/>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w:t>
            </w:r>
          </w:p>
        </w:tc>
        <w:tc>
          <w:tcPr>
            <w:tcW w:w="748" w:type="pct"/>
            <w:gridSpan w:val="2"/>
            <w:tcBorders>
              <w:top w:val="nil"/>
              <w:left w:val="nil"/>
              <w:right w:val="nil"/>
            </w:tcBorders>
            <w:shd w:val="clear" w:color="auto" w:fill="auto"/>
            <w:noWrap/>
            <w:vAlign w:val="bottom"/>
          </w:tcPr>
          <w:p w:rsidR="00FA0359" w:rsidRPr="006D2D0A" w:rsidRDefault="00F81E40" w:rsidP="00704CC0">
            <w:pPr>
              <w:pStyle w:val="Normal-Table"/>
              <w:tabs>
                <w:tab w:val="left" w:pos="567"/>
                <w:tab w:val="left" w:pos="1134"/>
                <w:tab w:val="left" w:pos="1701"/>
                <w:tab w:val="left" w:pos="2268"/>
              </w:tabs>
              <w:jc w:val="right"/>
              <w:rPr>
                <w:b/>
                <w:sz w:val="18"/>
              </w:rPr>
            </w:pPr>
            <w:r w:rsidRPr="006D2D0A">
              <w:rPr>
                <w:b/>
                <w:sz w:val="18"/>
              </w:rPr>
              <w:t>95</w:t>
            </w:r>
            <w:r w:rsidR="00E616FD" w:rsidRPr="006D2D0A">
              <w:rPr>
                <w:b/>
                <w:sz w:val="18"/>
              </w:rPr>
              <w:t>5</w:t>
            </w:r>
          </w:p>
        </w:tc>
        <w:tc>
          <w:tcPr>
            <w:tcW w:w="749" w:type="pct"/>
            <w:gridSpan w:val="2"/>
            <w:tcBorders>
              <w:top w:val="nil"/>
              <w:left w:val="nil"/>
              <w:right w:val="nil"/>
            </w:tcBorders>
            <w:shd w:val="clear" w:color="auto" w:fill="auto"/>
            <w:noWrap/>
            <w:vAlign w:val="bottom"/>
          </w:tcPr>
          <w:p w:rsidR="00FA0359" w:rsidRPr="006D2D0A" w:rsidRDefault="00F356EB" w:rsidP="00704CC0">
            <w:pPr>
              <w:pStyle w:val="Normal-Table"/>
              <w:tabs>
                <w:tab w:val="left" w:pos="567"/>
                <w:tab w:val="left" w:pos="1134"/>
                <w:tab w:val="left" w:pos="1701"/>
                <w:tab w:val="left" w:pos="2268"/>
              </w:tabs>
              <w:jc w:val="right"/>
              <w:rPr>
                <w:sz w:val="18"/>
              </w:rPr>
            </w:pPr>
            <w:r w:rsidRPr="006D2D0A">
              <w:rPr>
                <w:sz w:val="18"/>
              </w:rPr>
              <w:t>3,565</w:t>
            </w:r>
          </w:p>
        </w:tc>
      </w:tr>
      <w:tr w:rsidR="00FA0359" w:rsidRPr="006D2D0A" w:rsidTr="00562F9C">
        <w:trPr>
          <w:trHeight w:val="20"/>
        </w:trPr>
        <w:tc>
          <w:tcPr>
            <w:tcW w:w="245" w:type="pct"/>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FA0359" w:rsidRPr="006D2D0A" w:rsidRDefault="00FA0359" w:rsidP="00704CC0">
            <w:pPr>
              <w:pStyle w:val="Normal-Table"/>
              <w:tabs>
                <w:tab w:val="left" w:pos="567"/>
                <w:tab w:val="left" w:pos="1134"/>
                <w:tab w:val="left" w:pos="1701"/>
                <w:tab w:val="left" w:pos="2268"/>
              </w:tabs>
              <w:rPr>
                <w:b/>
                <w:sz w:val="18"/>
              </w:rPr>
            </w:pPr>
            <w:r w:rsidRPr="006D2D0A">
              <w:rPr>
                <w:b/>
                <w:sz w:val="18"/>
              </w:rPr>
              <w:t xml:space="preserve">Net changes in working capital: </w:t>
            </w:r>
          </w:p>
        </w:tc>
        <w:tc>
          <w:tcPr>
            <w:tcW w:w="748" w:type="pct"/>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p>
        </w:tc>
        <w:tc>
          <w:tcPr>
            <w:tcW w:w="748" w:type="pct"/>
            <w:gridSpan w:val="2"/>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p>
        </w:tc>
        <w:tc>
          <w:tcPr>
            <w:tcW w:w="748" w:type="pct"/>
            <w:gridSpan w:val="2"/>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p>
        </w:tc>
        <w:tc>
          <w:tcPr>
            <w:tcW w:w="749" w:type="pct"/>
            <w:gridSpan w:val="2"/>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p>
        </w:tc>
      </w:tr>
      <w:tr w:rsidR="00FA0359" w:rsidRPr="006D2D0A" w:rsidTr="00562F9C">
        <w:trPr>
          <w:trHeight w:val="20"/>
        </w:trPr>
        <w:tc>
          <w:tcPr>
            <w:tcW w:w="245" w:type="pct"/>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FA0359" w:rsidRPr="006D2D0A" w:rsidRDefault="00FA0359" w:rsidP="00704CC0">
            <w:pPr>
              <w:pStyle w:val="Normal-Table"/>
              <w:tabs>
                <w:tab w:val="left" w:pos="567"/>
                <w:tab w:val="left" w:pos="1134"/>
                <w:tab w:val="left" w:pos="1701"/>
                <w:tab w:val="left" w:pos="2268"/>
              </w:tabs>
              <w:rPr>
                <w:sz w:val="18"/>
              </w:rPr>
            </w:pPr>
            <w:r w:rsidRPr="006D2D0A">
              <w:rPr>
                <w:sz w:val="18"/>
              </w:rPr>
              <w:t>Decrease</w:t>
            </w:r>
            <w:r w:rsidR="00E06D79" w:rsidRPr="006D2D0A">
              <w:rPr>
                <w:sz w:val="18"/>
              </w:rPr>
              <w:t>/(Increase)</w:t>
            </w:r>
            <w:r w:rsidRPr="006D2D0A">
              <w:rPr>
                <w:sz w:val="18"/>
              </w:rPr>
              <w:t xml:space="preserve"> in receivables and   prepayments</w:t>
            </w:r>
          </w:p>
        </w:tc>
        <w:tc>
          <w:tcPr>
            <w:tcW w:w="748" w:type="pct"/>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7</w:t>
            </w:r>
            <w:r w:rsidR="00484153" w:rsidRPr="006D2D0A">
              <w:rPr>
                <w:b/>
                <w:sz w:val="18"/>
              </w:rPr>
              <w:t>1</w:t>
            </w:r>
          </w:p>
        </w:tc>
        <w:tc>
          <w:tcPr>
            <w:tcW w:w="748" w:type="pct"/>
            <w:gridSpan w:val="2"/>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15</w:t>
            </w:r>
          </w:p>
        </w:tc>
        <w:tc>
          <w:tcPr>
            <w:tcW w:w="748" w:type="pct"/>
            <w:gridSpan w:val="2"/>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w:t>
            </w:r>
            <w:r w:rsidR="00E616FD" w:rsidRPr="006D2D0A">
              <w:rPr>
                <w:b/>
                <w:sz w:val="18"/>
              </w:rPr>
              <w:t>6</w:t>
            </w:r>
            <w:r w:rsidRPr="006D2D0A">
              <w:rPr>
                <w:b/>
                <w:sz w:val="18"/>
              </w:rPr>
              <w:t>)</w:t>
            </w:r>
          </w:p>
        </w:tc>
        <w:tc>
          <w:tcPr>
            <w:tcW w:w="749" w:type="pct"/>
            <w:gridSpan w:val="2"/>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7</w:t>
            </w:r>
          </w:p>
        </w:tc>
      </w:tr>
      <w:tr w:rsidR="00FA0359" w:rsidRPr="006D2D0A" w:rsidTr="00562F9C">
        <w:trPr>
          <w:trHeight w:val="20"/>
        </w:trPr>
        <w:tc>
          <w:tcPr>
            <w:tcW w:w="245" w:type="pct"/>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FA0359" w:rsidRPr="006D2D0A" w:rsidRDefault="00FA0359" w:rsidP="00704CC0">
            <w:pPr>
              <w:pStyle w:val="Normal-Table"/>
              <w:tabs>
                <w:tab w:val="left" w:pos="567"/>
                <w:tab w:val="left" w:pos="1134"/>
                <w:tab w:val="left" w:pos="1701"/>
                <w:tab w:val="left" w:pos="2268"/>
              </w:tabs>
              <w:rPr>
                <w:sz w:val="18"/>
              </w:rPr>
            </w:pPr>
            <w:r w:rsidRPr="006D2D0A">
              <w:rPr>
                <w:sz w:val="18"/>
              </w:rPr>
              <w:t>(</w:t>
            </w:r>
            <w:r w:rsidR="00E21B14" w:rsidRPr="006D2D0A">
              <w:rPr>
                <w:sz w:val="18"/>
              </w:rPr>
              <w:t>D</w:t>
            </w:r>
            <w:r w:rsidRPr="006D2D0A">
              <w:rPr>
                <w:sz w:val="18"/>
              </w:rPr>
              <w:t>ecrease)</w:t>
            </w:r>
            <w:r w:rsidR="00E21B14" w:rsidRPr="006D2D0A">
              <w:rPr>
                <w:sz w:val="18"/>
              </w:rPr>
              <w:t xml:space="preserve">/ Increase </w:t>
            </w:r>
            <w:r w:rsidRPr="006D2D0A">
              <w:rPr>
                <w:sz w:val="18"/>
              </w:rPr>
              <w:t xml:space="preserve"> in payables  </w:t>
            </w:r>
          </w:p>
        </w:tc>
        <w:tc>
          <w:tcPr>
            <w:tcW w:w="748" w:type="pct"/>
            <w:tcBorders>
              <w:left w:val="nil"/>
              <w:bottom w:val="single" w:sz="4" w:space="0" w:color="auto"/>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(241)</w:t>
            </w:r>
          </w:p>
        </w:tc>
        <w:tc>
          <w:tcPr>
            <w:tcW w:w="748" w:type="pct"/>
            <w:gridSpan w:val="2"/>
            <w:tcBorders>
              <w:left w:val="nil"/>
              <w:bottom w:val="single" w:sz="4" w:space="0" w:color="auto"/>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183</w:t>
            </w:r>
          </w:p>
        </w:tc>
        <w:tc>
          <w:tcPr>
            <w:tcW w:w="748" w:type="pct"/>
            <w:gridSpan w:val="2"/>
            <w:tcBorders>
              <w:left w:val="nil"/>
              <w:bottom w:val="single" w:sz="4" w:space="0" w:color="auto"/>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w:t>
            </w:r>
          </w:p>
        </w:tc>
        <w:tc>
          <w:tcPr>
            <w:tcW w:w="749" w:type="pct"/>
            <w:gridSpan w:val="2"/>
            <w:tcBorders>
              <w:left w:val="nil"/>
              <w:bottom w:val="single" w:sz="4" w:space="0" w:color="auto"/>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(29)</w:t>
            </w:r>
          </w:p>
        </w:tc>
      </w:tr>
      <w:tr w:rsidR="00FA0359" w:rsidRPr="006D2D0A" w:rsidTr="00562F9C">
        <w:trPr>
          <w:trHeight w:val="20"/>
        </w:trPr>
        <w:tc>
          <w:tcPr>
            <w:tcW w:w="245" w:type="pct"/>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FA0359" w:rsidRPr="006D2D0A" w:rsidRDefault="00FA0359" w:rsidP="00704CC0">
            <w:pPr>
              <w:pStyle w:val="Normal-Table"/>
              <w:tabs>
                <w:tab w:val="left" w:pos="567"/>
                <w:tab w:val="left" w:pos="1134"/>
                <w:tab w:val="left" w:pos="1701"/>
                <w:tab w:val="left" w:pos="2268"/>
              </w:tabs>
              <w:rPr>
                <w:b/>
                <w:sz w:val="18"/>
              </w:rPr>
            </w:pPr>
            <w:r w:rsidRPr="006D2D0A">
              <w:rPr>
                <w:b/>
                <w:sz w:val="18"/>
              </w:rPr>
              <w:t xml:space="preserve">Net cash used in operations </w:t>
            </w:r>
          </w:p>
        </w:tc>
        <w:tc>
          <w:tcPr>
            <w:tcW w:w="748" w:type="pct"/>
            <w:tcBorders>
              <w:top w:val="single" w:sz="4" w:space="0" w:color="auto"/>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(1,029)</w:t>
            </w:r>
          </w:p>
        </w:tc>
        <w:tc>
          <w:tcPr>
            <w:tcW w:w="748" w:type="pct"/>
            <w:gridSpan w:val="2"/>
            <w:tcBorders>
              <w:top w:val="single" w:sz="4" w:space="0" w:color="auto"/>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(925)</w:t>
            </w:r>
          </w:p>
        </w:tc>
        <w:tc>
          <w:tcPr>
            <w:tcW w:w="748" w:type="pct"/>
            <w:gridSpan w:val="2"/>
            <w:tcBorders>
              <w:top w:val="single" w:sz="4" w:space="0" w:color="auto"/>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(39</w:t>
            </w:r>
            <w:r w:rsidR="00E616FD" w:rsidRPr="006D2D0A">
              <w:rPr>
                <w:b/>
                <w:sz w:val="18"/>
              </w:rPr>
              <w:t>4</w:t>
            </w:r>
            <w:r w:rsidRPr="006D2D0A">
              <w:rPr>
                <w:b/>
                <w:sz w:val="18"/>
              </w:rPr>
              <w:t>)</w:t>
            </w:r>
          </w:p>
        </w:tc>
        <w:tc>
          <w:tcPr>
            <w:tcW w:w="749" w:type="pct"/>
            <w:gridSpan w:val="2"/>
            <w:tcBorders>
              <w:top w:val="single" w:sz="4" w:space="0" w:color="auto"/>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(371)</w:t>
            </w:r>
          </w:p>
        </w:tc>
      </w:tr>
      <w:tr w:rsidR="00FA0359" w:rsidRPr="006D2D0A" w:rsidTr="00562F9C">
        <w:trPr>
          <w:trHeight w:val="20"/>
        </w:trPr>
        <w:tc>
          <w:tcPr>
            <w:tcW w:w="245" w:type="pct"/>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FA0359" w:rsidRPr="006D2D0A" w:rsidRDefault="00FA0359" w:rsidP="00704CC0">
            <w:pPr>
              <w:pStyle w:val="Normal-Table"/>
              <w:tabs>
                <w:tab w:val="left" w:pos="567"/>
                <w:tab w:val="left" w:pos="1134"/>
                <w:tab w:val="left" w:pos="1701"/>
                <w:tab w:val="left" w:pos="2268"/>
              </w:tabs>
              <w:rPr>
                <w:sz w:val="18"/>
              </w:rPr>
            </w:pPr>
            <w:r w:rsidRPr="006D2D0A">
              <w:rPr>
                <w:sz w:val="18"/>
              </w:rPr>
              <w:t xml:space="preserve">Income tax paid </w:t>
            </w:r>
          </w:p>
        </w:tc>
        <w:tc>
          <w:tcPr>
            <w:tcW w:w="748" w:type="pct"/>
            <w:tcBorders>
              <w:left w:val="nil"/>
              <w:bottom w:val="single" w:sz="4" w:space="0" w:color="auto"/>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w:t>
            </w:r>
          </w:p>
        </w:tc>
        <w:tc>
          <w:tcPr>
            <w:tcW w:w="748" w:type="pct"/>
            <w:gridSpan w:val="2"/>
            <w:tcBorders>
              <w:left w:val="nil"/>
              <w:bottom w:val="single" w:sz="4" w:space="0" w:color="auto"/>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w:t>
            </w:r>
          </w:p>
        </w:tc>
        <w:tc>
          <w:tcPr>
            <w:tcW w:w="748" w:type="pct"/>
            <w:gridSpan w:val="2"/>
            <w:tcBorders>
              <w:left w:val="nil"/>
              <w:bottom w:val="single" w:sz="4" w:space="0" w:color="auto"/>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w:t>
            </w:r>
          </w:p>
        </w:tc>
        <w:tc>
          <w:tcPr>
            <w:tcW w:w="749" w:type="pct"/>
            <w:gridSpan w:val="2"/>
            <w:tcBorders>
              <w:left w:val="nil"/>
              <w:bottom w:val="single" w:sz="4" w:space="0" w:color="auto"/>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color w:val="000000" w:themeColor="text1"/>
                <w:sz w:val="18"/>
              </w:rPr>
            </w:pPr>
            <w:r w:rsidRPr="006D2D0A">
              <w:rPr>
                <w:color w:val="000000" w:themeColor="text1"/>
                <w:sz w:val="18"/>
              </w:rPr>
              <w:t>-</w:t>
            </w:r>
          </w:p>
        </w:tc>
      </w:tr>
      <w:tr w:rsidR="00FA0359" w:rsidRPr="006D2D0A" w:rsidTr="00562F9C">
        <w:trPr>
          <w:trHeight w:val="20"/>
        </w:trPr>
        <w:tc>
          <w:tcPr>
            <w:tcW w:w="245" w:type="pct"/>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FA0359" w:rsidRPr="006D2D0A" w:rsidRDefault="00FA0359" w:rsidP="00704CC0">
            <w:pPr>
              <w:pStyle w:val="Normal-Table"/>
              <w:tabs>
                <w:tab w:val="left" w:pos="567"/>
                <w:tab w:val="left" w:pos="1134"/>
                <w:tab w:val="left" w:pos="1701"/>
                <w:tab w:val="left" w:pos="2268"/>
              </w:tabs>
              <w:rPr>
                <w:b/>
                <w:sz w:val="18"/>
              </w:rPr>
            </w:pPr>
            <w:r w:rsidRPr="006D2D0A">
              <w:rPr>
                <w:b/>
                <w:sz w:val="18"/>
              </w:rPr>
              <w:t xml:space="preserve">Net cash used in operating activities </w:t>
            </w:r>
          </w:p>
        </w:tc>
        <w:tc>
          <w:tcPr>
            <w:tcW w:w="748" w:type="pct"/>
            <w:tcBorders>
              <w:top w:val="single" w:sz="4" w:space="0" w:color="auto"/>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(1,029)</w:t>
            </w:r>
          </w:p>
        </w:tc>
        <w:tc>
          <w:tcPr>
            <w:tcW w:w="748" w:type="pct"/>
            <w:gridSpan w:val="2"/>
            <w:tcBorders>
              <w:top w:val="single" w:sz="4" w:space="0" w:color="auto"/>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(925)</w:t>
            </w:r>
          </w:p>
        </w:tc>
        <w:tc>
          <w:tcPr>
            <w:tcW w:w="748" w:type="pct"/>
            <w:gridSpan w:val="2"/>
            <w:tcBorders>
              <w:top w:val="single" w:sz="4" w:space="0" w:color="auto"/>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(39</w:t>
            </w:r>
            <w:r w:rsidR="00AB3105" w:rsidRPr="006D2D0A">
              <w:rPr>
                <w:b/>
                <w:sz w:val="18"/>
              </w:rPr>
              <w:t>4</w:t>
            </w:r>
            <w:r w:rsidRPr="006D2D0A">
              <w:rPr>
                <w:b/>
                <w:sz w:val="18"/>
              </w:rPr>
              <w:t>)</w:t>
            </w:r>
          </w:p>
        </w:tc>
        <w:tc>
          <w:tcPr>
            <w:tcW w:w="749" w:type="pct"/>
            <w:gridSpan w:val="2"/>
            <w:tcBorders>
              <w:top w:val="single" w:sz="4" w:space="0" w:color="auto"/>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(371)</w:t>
            </w:r>
          </w:p>
        </w:tc>
      </w:tr>
      <w:tr w:rsidR="00FA0359" w:rsidRPr="006D2D0A" w:rsidTr="00562F9C">
        <w:trPr>
          <w:trHeight w:val="20"/>
        </w:trPr>
        <w:tc>
          <w:tcPr>
            <w:tcW w:w="245" w:type="pct"/>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FA0359" w:rsidRPr="006D2D0A" w:rsidRDefault="00FA0359" w:rsidP="00704CC0">
            <w:pPr>
              <w:pStyle w:val="Normal-Table"/>
              <w:tabs>
                <w:tab w:val="left" w:pos="567"/>
                <w:tab w:val="left" w:pos="1134"/>
                <w:tab w:val="left" w:pos="1701"/>
                <w:tab w:val="left" w:pos="2268"/>
              </w:tabs>
              <w:rPr>
                <w:b/>
                <w:sz w:val="18"/>
              </w:rPr>
            </w:pPr>
          </w:p>
        </w:tc>
        <w:tc>
          <w:tcPr>
            <w:tcW w:w="748" w:type="pct"/>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p>
        </w:tc>
        <w:tc>
          <w:tcPr>
            <w:tcW w:w="748" w:type="pct"/>
            <w:gridSpan w:val="2"/>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p>
        </w:tc>
        <w:tc>
          <w:tcPr>
            <w:tcW w:w="748" w:type="pct"/>
            <w:gridSpan w:val="2"/>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p>
        </w:tc>
        <w:tc>
          <w:tcPr>
            <w:tcW w:w="749" w:type="pct"/>
            <w:gridSpan w:val="2"/>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p>
        </w:tc>
      </w:tr>
      <w:tr w:rsidR="00FA0359" w:rsidRPr="006D2D0A" w:rsidTr="00562F9C">
        <w:trPr>
          <w:trHeight w:val="20"/>
        </w:trPr>
        <w:tc>
          <w:tcPr>
            <w:tcW w:w="245" w:type="pct"/>
            <w:tcBorders>
              <w:top w:val="nil"/>
              <w:left w:val="nil"/>
              <w:bottom w:val="nil"/>
              <w:right w:val="nil"/>
            </w:tcBorders>
            <w:shd w:val="clear" w:color="auto" w:fill="auto"/>
            <w:noWrap/>
          </w:tcPr>
          <w:p w:rsidR="00FA0359" w:rsidRPr="006D2D0A" w:rsidRDefault="00FA0359" w:rsidP="00704CC0">
            <w:pPr>
              <w:pStyle w:val="Normal-Table"/>
              <w:tabs>
                <w:tab w:val="left" w:pos="567"/>
                <w:tab w:val="left" w:pos="1134"/>
                <w:tab w:val="left" w:pos="1701"/>
                <w:tab w:val="left" w:pos="2268"/>
              </w:tabs>
              <w:rPr>
                <w:b/>
                <w:sz w:val="18"/>
              </w:rPr>
            </w:pPr>
            <w:r w:rsidRPr="006D2D0A">
              <w:rPr>
                <w:b/>
                <w:sz w:val="18"/>
              </w:rPr>
              <w:t xml:space="preserve">(b) </w:t>
            </w:r>
          </w:p>
        </w:tc>
        <w:tc>
          <w:tcPr>
            <w:tcW w:w="1762" w:type="pct"/>
            <w:tcBorders>
              <w:top w:val="nil"/>
              <w:left w:val="nil"/>
              <w:bottom w:val="nil"/>
              <w:right w:val="nil"/>
            </w:tcBorders>
            <w:shd w:val="clear" w:color="auto" w:fill="auto"/>
          </w:tcPr>
          <w:p w:rsidR="00FA0359" w:rsidRPr="006D2D0A" w:rsidRDefault="00FA0359" w:rsidP="00704CC0">
            <w:pPr>
              <w:pStyle w:val="Normal-Table"/>
              <w:tabs>
                <w:tab w:val="left" w:pos="567"/>
                <w:tab w:val="left" w:pos="1134"/>
                <w:tab w:val="left" w:pos="1701"/>
                <w:tab w:val="left" w:pos="2268"/>
              </w:tabs>
              <w:rPr>
                <w:b/>
                <w:sz w:val="18"/>
              </w:rPr>
            </w:pPr>
            <w:r w:rsidRPr="006D2D0A">
              <w:rPr>
                <w:b/>
                <w:sz w:val="18"/>
              </w:rPr>
              <w:t xml:space="preserve">Investing activities </w:t>
            </w:r>
          </w:p>
        </w:tc>
        <w:tc>
          <w:tcPr>
            <w:tcW w:w="748" w:type="pct"/>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p>
        </w:tc>
        <w:tc>
          <w:tcPr>
            <w:tcW w:w="748" w:type="pct"/>
            <w:gridSpan w:val="2"/>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p>
        </w:tc>
        <w:tc>
          <w:tcPr>
            <w:tcW w:w="748" w:type="pct"/>
            <w:gridSpan w:val="2"/>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p>
        </w:tc>
        <w:tc>
          <w:tcPr>
            <w:tcW w:w="749" w:type="pct"/>
            <w:gridSpan w:val="2"/>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p>
        </w:tc>
      </w:tr>
      <w:tr w:rsidR="00FA0359" w:rsidRPr="006D2D0A" w:rsidTr="00562F9C">
        <w:trPr>
          <w:trHeight w:val="20"/>
        </w:trPr>
        <w:tc>
          <w:tcPr>
            <w:tcW w:w="245" w:type="pct"/>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FA0359" w:rsidRPr="006D2D0A" w:rsidRDefault="00FA0359" w:rsidP="00704CC0">
            <w:pPr>
              <w:pStyle w:val="Normal-Table"/>
              <w:tabs>
                <w:tab w:val="left" w:pos="567"/>
                <w:tab w:val="left" w:pos="1134"/>
                <w:tab w:val="left" w:pos="1701"/>
                <w:tab w:val="left" w:pos="2268"/>
              </w:tabs>
              <w:rPr>
                <w:sz w:val="18"/>
              </w:rPr>
            </w:pPr>
            <w:r w:rsidRPr="006D2D0A">
              <w:rPr>
                <w:sz w:val="18"/>
              </w:rPr>
              <w:t xml:space="preserve">Purchase of investments </w:t>
            </w:r>
          </w:p>
        </w:tc>
        <w:tc>
          <w:tcPr>
            <w:tcW w:w="748" w:type="pct"/>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w:t>
            </w:r>
          </w:p>
        </w:tc>
        <w:tc>
          <w:tcPr>
            <w:tcW w:w="748" w:type="pct"/>
            <w:gridSpan w:val="2"/>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(471)</w:t>
            </w:r>
          </w:p>
        </w:tc>
        <w:tc>
          <w:tcPr>
            <w:tcW w:w="748" w:type="pct"/>
            <w:gridSpan w:val="2"/>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w:t>
            </w:r>
          </w:p>
        </w:tc>
        <w:tc>
          <w:tcPr>
            <w:tcW w:w="749" w:type="pct"/>
            <w:gridSpan w:val="2"/>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w:t>
            </w:r>
          </w:p>
        </w:tc>
      </w:tr>
      <w:tr w:rsidR="00FA0359" w:rsidRPr="006D2D0A" w:rsidTr="00562F9C">
        <w:trPr>
          <w:trHeight w:val="20"/>
        </w:trPr>
        <w:tc>
          <w:tcPr>
            <w:tcW w:w="245" w:type="pct"/>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FA0359" w:rsidRPr="006D2D0A" w:rsidRDefault="00FA0359" w:rsidP="00704CC0">
            <w:pPr>
              <w:pStyle w:val="Normal-Table"/>
              <w:tabs>
                <w:tab w:val="left" w:pos="567"/>
                <w:tab w:val="left" w:pos="1134"/>
                <w:tab w:val="left" w:pos="1701"/>
                <w:tab w:val="left" w:pos="2268"/>
              </w:tabs>
              <w:rPr>
                <w:sz w:val="18"/>
              </w:rPr>
            </w:pPr>
            <w:r w:rsidRPr="006D2D0A">
              <w:rPr>
                <w:sz w:val="18"/>
              </w:rPr>
              <w:t>Proceeds from sale of investment</w:t>
            </w:r>
          </w:p>
        </w:tc>
        <w:tc>
          <w:tcPr>
            <w:tcW w:w="748" w:type="pct"/>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7,716</w:t>
            </w:r>
          </w:p>
        </w:tc>
        <w:tc>
          <w:tcPr>
            <w:tcW w:w="748" w:type="pct"/>
            <w:gridSpan w:val="2"/>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174</w:t>
            </w:r>
          </w:p>
        </w:tc>
        <w:tc>
          <w:tcPr>
            <w:tcW w:w="748" w:type="pct"/>
            <w:gridSpan w:val="2"/>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w:t>
            </w:r>
          </w:p>
        </w:tc>
        <w:tc>
          <w:tcPr>
            <w:tcW w:w="749" w:type="pct"/>
            <w:gridSpan w:val="2"/>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w:t>
            </w:r>
          </w:p>
        </w:tc>
      </w:tr>
      <w:tr w:rsidR="00FA0359" w:rsidRPr="006D2D0A" w:rsidTr="00562F9C">
        <w:trPr>
          <w:trHeight w:val="20"/>
        </w:trPr>
        <w:tc>
          <w:tcPr>
            <w:tcW w:w="245" w:type="pct"/>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FA0359" w:rsidRPr="006D2D0A" w:rsidRDefault="00FA0359" w:rsidP="00704CC0">
            <w:pPr>
              <w:pStyle w:val="Normal-Table"/>
              <w:tabs>
                <w:tab w:val="left" w:pos="567"/>
                <w:tab w:val="left" w:pos="1134"/>
                <w:tab w:val="left" w:pos="1701"/>
                <w:tab w:val="left" w:pos="2268"/>
              </w:tabs>
              <w:rPr>
                <w:sz w:val="18"/>
              </w:rPr>
            </w:pPr>
            <w:r w:rsidRPr="006D2D0A">
              <w:rPr>
                <w:sz w:val="18"/>
              </w:rPr>
              <w:t>Loan repaid from subsidiary</w:t>
            </w:r>
          </w:p>
        </w:tc>
        <w:tc>
          <w:tcPr>
            <w:tcW w:w="748" w:type="pct"/>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w:t>
            </w:r>
          </w:p>
        </w:tc>
        <w:tc>
          <w:tcPr>
            <w:tcW w:w="748" w:type="pct"/>
            <w:gridSpan w:val="2"/>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w:t>
            </w:r>
          </w:p>
        </w:tc>
        <w:tc>
          <w:tcPr>
            <w:tcW w:w="748" w:type="pct"/>
            <w:gridSpan w:val="2"/>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5,004</w:t>
            </w:r>
          </w:p>
        </w:tc>
        <w:tc>
          <w:tcPr>
            <w:tcW w:w="749" w:type="pct"/>
            <w:gridSpan w:val="2"/>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w:t>
            </w:r>
          </w:p>
        </w:tc>
      </w:tr>
      <w:tr w:rsidR="00FA0359" w:rsidRPr="006D2D0A" w:rsidTr="00562F9C">
        <w:trPr>
          <w:trHeight w:val="20"/>
        </w:trPr>
        <w:tc>
          <w:tcPr>
            <w:tcW w:w="245" w:type="pct"/>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FA0359" w:rsidRPr="006D2D0A" w:rsidRDefault="00FA0359" w:rsidP="00704CC0">
            <w:pPr>
              <w:pStyle w:val="Normal-Table"/>
              <w:tabs>
                <w:tab w:val="left" w:pos="567"/>
                <w:tab w:val="left" w:pos="1134"/>
                <w:tab w:val="left" w:pos="1701"/>
                <w:tab w:val="left" w:pos="2268"/>
              </w:tabs>
              <w:rPr>
                <w:sz w:val="18"/>
              </w:rPr>
            </w:pPr>
            <w:r w:rsidRPr="006D2D0A">
              <w:rPr>
                <w:sz w:val="18"/>
              </w:rPr>
              <w:t>Investments</w:t>
            </w:r>
            <w:r w:rsidR="00635FFC" w:rsidRPr="006D2D0A">
              <w:rPr>
                <w:sz w:val="18"/>
              </w:rPr>
              <w:t xml:space="preserve"> made</w:t>
            </w:r>
            <w:r w:rsidRPr="006D2D0A">
              <w:rPr>
                <w:sz w:val="18"/>
              </w:rPr>
              <w:t xml:space="preserve"> in subsidiary</w:t>
            </w:r>
          </w:p>
        </w:tc>
        <w:tc>
          <w:tcPr>
            <w:tcW w:w="748" w:type="pct"/>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w:t>
            </w:r>
          </w:p>
        </w:tc>
        <w:tc>
          <w:tcPr>
            <w:tcW w:w="748" w:type="pct"/>
            <w:gridSpan w:val="2"/>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w:t>
            </w:r>
          </w:p>
        </w:tc>
        <w:tc>
          <w:tcPr>
            <w:tcW w:w="748" w:type="pct"/>
            <w:gridSpan w:val="2"/>
            <w:tcBorders>
              <w:top w:val="nil"/>
              <w:left w:val="nil"/>
              <w:right w:val="nil"/>
            </w:tcBorders>
            <w:shd w:val="clear" w:color="auto" w:fill="auto"/>
            <w:noWrap/>
            <w:vAlign w:val="bottom"/>
          </w:tcPr>
          <w:p w:rsidR="00FA0359" w:rsidRPr="006D2D0A" w:rsidRDefault="00635FFC" w:rsidP="00704CC0">
            <w:pPr>
              <w:pStyle w:val="Normal-Table"/>
              <w:tabs>
                <w:tab w:val="left" w:pos="567"/>
                <w:tab w:val="left" w:pos="1134"/>
                <w:tab w:val="left" w:pos="1701"/>
                <w:tab w:val="left" w:pos="2268"/>
              </w:tabs>
              <w:jc w:val="right"/>
              <w:rPr>
                <w:b/>
                <w:sz w:val="18"/>
              </w:rPr>
            </w:pPr>
            <w:r w:rsidRPr="006D2D0A">
              <w:rPr>
                <w:b/>
                <w:sz w:val="18"/>
              </w:rPr>
              <w:t>-</w:t>
            </w:r>
          </w:p>
        </w:tc>
        <w:tc>
          <w:tcPr>
            <w:tcW w:w="749" w:type="pct"/>
            <w:gridSpan w:val="2"/>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(680)</w:t>
            </w:r>
          </w:p>
        </w:tc>
      </w:tr>
      <w:tr w:rsidR="00635FFC" w:rsidRPr="006D2D0A" w:rsidTr="00562F9C">
        <w:trPr>
          <w:trHeight w:val="20"/>
        </w:trPr>
        <w:tc>
          <w:tcPr>
            <w:tcW w:w="245" w:type="pct"/>
            <w:tcBorders>
              <w:top w:val="nil"/>
              <w:left w:val="nil"/>
              <w:bottom w:val="nil"/>
              <w:right w:val="nil"/>
            </w:tcBorders>
            <w:shd w:val="clear" w:color="auto" w:fill="auto"/>
            <w:noWrap/>
            <w:vAlign w:val="bottom"/>
          </w:tcPr>
          <w:p w:rsidR="00635FFC" w:rsidRPr="006D2D0A" w:rsidRDefault="00635FFC"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635FFC" w:rsidRPr="006D2D0A" w:rsidRDefault="001A21B5" w:rsidP="00704CC0">
            <w:pPr>
              <w:pStyle w:val="Normal-Table"/>
              <w:tabs>
                <w:tab w:val="left" w:pos="567"/>
                <w:tab w:val="left" w:pos="1134"/>
                <w:tab w:val="left" w:pos="1701"/>
                <w:tab w:val="left" w:pos="2268"/>
              </w:tabs>
              <w:rPr>
                <w:sz w:val="18"/>
              </w:rPr>
            </w:pPr>
            <w:r w:rsidRPr="006D2D0A">
              <w:rPr>
                <w:sz w:val="18"/>
              </w:rPr>
              <w:t>Proceeds from b</w:t>
            </w:r>
            <w:r w:rsidR="00635FFC" w:rsidRPr="006D2D0A">
              <w:rPr>
                <w:sz w:val="18"/>
              </w:rPr>
              <w:t xml:space="preserve">uyback </w:t>
            </w:r>
            <w:r w:rsidRPr="006D2D0A">
              <w:rPr>
                <w:sz w:val="18"/>
              </w:rPr>
              <w:t xml:space="preserve">of shares in a </w:t>
            </w:r>
            <w:r w:rsidR="00635FFC" w:rsidRPr="006D2D0A">
              <w:rPr>
                <w:sz w:val="18"/>
              </w:rPr>
              <w:t>subsidiary</w:t>
            </w:r>
          </w:p>
        </w:tc>
        <w:tc>
          <w:tcPr>
            <w:tcW w:w="748" w:type="pct"/>
            <w:tcBorders>
              <w:top w:val="nil"/>
              <w:left w:val="nil"/>
              <w:right w:val="nil"/>
            </w:tcBorders>
            <w:shd w:val="clear" w:color="auto" w:fill="auto"/>
            <w:noWrap/>
            <w:vAlign w:val="bottom"/>
          </w:tcPr>
          <w:p w:rsidR="00635FFC" w:rsidRPr="006D2D0A" w:rsidRDefault="00635FFC" w:rsidP="00704CC0">
            <w:pPr>
              <w:pStyle w:val="Normal-Table"/>
              <w:tabs>
                <w:tab w:val="left" w:pos="567"/>
                <w:tab w:val="left" w:pos="1134"/>
                <w:tab w:val="left" w:pos="1701"/>
                <w:tab w:val="left" w:pos="2268"/>
              </w:tabs>
              <w:jc w:val="right"/>
              <w:rPr>
                <w:b/>
                <w:sz w:val="18"/>
              </w:rPr>
            </w:pPr>
            <w:r w:rsidRPr="006D2D0A">
              <w:rPr>
                <w:b/>
                <w:sz w:val="18"/>
              </w:rPr>
              <w:t>-</w:t>
            </w:r>
          </w:p>
        </w:tc>
        <w:tc>
          <w:tcPr>
            <w:tcW w:w="748" w:type="pct"/>
            <w:gridSpan w:val="2"/>
            <w:tcBorders>
              <w:top w:val="nil"/>
              <w:left w:val="nil"/>
              <w:right w:val="nil"/>
            </w:tcBorders>
            <w:shd w:val="clear" w:color="auto" w:fill="auto"/>
            <w:noWrap/>
            <w:vAlign w:val="bottom"/>
          </w:tcPr>
          <w:p w:rsidR="00635FFC" w:rsidRPr="006D2D0A" w:rsidRDefault="00635FFC" w:rsidP="00704CC0">
            <w:pPr>
              <w:pStyle w:val="Normal-Table"/>
              <w:tabs>
                <w:tab w:val="left" w:pos="567"/>
                <w:tab w:val="left" w:pos="1134"/>
                <w:tab w:val="left" w:pos="1701"/>
                <w:tab w:val="left" w:pos="2268"/>
              </w:tabs>
              <w:jc w:val="right"/>
              <w:rPr>
                <w:sz w:val="18"/>
              </w:rPr>
            </w:pPr>
            <w:r w:rsidRPr="006D2D0A">
              <w:rPr>
                <w:sz w:val="18"/>
              </w:rPr>
              <w:t>-</w:t>
            </w:r>
          </w:p>
        </w:tc>
        <w:tc>
          <w:tcPr>
            <w:tcW w:w="748" w:type="pct"/>
            <w:gridSpan w:val="2"/>
            <w:tcBorders>
              <w:top w:val="nil"/>
              <w:left w:val="nil"/>
              <w:right w:val="nil"/>
            </w:tcBorders>
            <w:shd w:val="clear" w:color="auto" w:fill="auto"/>
            <w:noWrap/>
            <w:vAlign w:val="bottom"/>
          </w:tcPr>
          <w:p w:rsidR="00635FFC" w:rsidRPr="006D2D0A" w:rsidRDefault="00635FFC" w:rsidP="00704CC0">
            <w:pPr>
              <w:pStyle w:val="Normal-Table"/>
              <w:tabs>
                <w:tab w:val="left" w:pos="567"/>
                <w:tab w:val="left" w:pos="1134"/>
                <w:tab w:val="left" w:pos="1701"/>
                <w:tab w:val="left" w:pos="2268"/>
              </w:tabs>
              <w:jc w:val="right"/>
              <w:rPr>
                <w:b/>
                <w:sz w:val="18"/>
              </w:rPr>
            </w:pPr>
            <w:r w:rsidRPr="006D2D0A">
              <w:rPr>
                <w:b/>
                <w:sz w:val="18"/>
              </w:rPr>
              <w:t>2,700</w:t>
            </w:r>
          </w:p>
        </w:tc>
        <w:tc>
          <w:tcPr>
            <w:tcW w:w="749" w:type="pct"/>
            <w:gridSpan w:val="2"/>
            <w:tcBorders>
              <w:top w:val="nil"/>
              <w:left w:val="nil"/>
              <w:right w:val="nil"/>
            </w:tcBorders>
            <w:shd w:val="clear" w:color="auto" w:fill="auto"/>
            <w:noWrap/>
            <w:vAlign w:val="bottom"/>
          </w:tcPr>
          <w:p w:rsidR="00635FFC" w:rsidRPr="006D2D0A" w:rsidRDefault="00635FFC" w:rsidP="00704CC0">
            <w:pPr>
              <w:pStyle w:val="Normal-Table"/>
              <w:tabs>
                <w:tab w:val="left" w:pos="567"/>
                <w:tab w:val="left" w:pos="1134"/>
                <w:tab w:val="left" w:pos="1701"/>
                <w:tab w:val="left" w:pos="2268"/>
              </w:tabs>
              <w:jc w:val="right"/>
              <w:rPr>
                <w:sz w:val="18"/>
              </w:rPr>
            </w:pPr>
            <w:r w:rsidRPr="006D2D0A">
              <w:rPr>
                <w:sz w:val="18"/>
              </w:rPr>
              <w:t>-</w:t>
            </w:r>
          </w:p>
        </w:tc>
      </w:tr>
      <w:tr w:rsidR="00FA0359" w:rsidRPr="006D2D0A" w:rsidTr="00562F9C">
        <w:trPr>
          <w:trHeight w:val="20"/>
        </w:trPr>
        <w:tc>
          <w:tcPr>
            <w:tcW w:w="245" w:type="pct"/>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FA0359" w:rsidRPr="006D2D0A" w:rsidRDefault="00FA0359" w:rsidP="00704CC0">
            <w:pPr>
              <w:pStyle w:val="Normal-Table"/>
              <w:tabs>
                <w:tab w:val="left" w:pos="567"/>
                <w:tab w:val="left" w:pos="1134"/>
                <w:tab w:val="left" w:pos="1701"/>
                <w:tab w:val="left" w:pos="2268"/>
              </w:tabs>
              <w:rPr>
                <w:sz w:val="18"/>
              </w:rPr>
            </w:pPr>
            <w:r w:rsidRPr="006D2D0A">
              <w:rPr>
                <w:sz w:val="18"/>
              </w:rPr>
              <w:t xml:space="preserve">Interest received </w:t>
            </w:r>
          </w:p>
        </w:tc>
        <w:tc>
          <w:tcPr>
            <w:tcW w:w="748" w:type="pct"/>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9</w:t>
            </w:r>
          </w:p>
        </w:tc>
        <w:tc>
          <w:tcPr>
            <w:tcW w:w="748" w:type="pct"/>
            <w:gridSpan w:val="2"/>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15</w:t>
            </w:r>
          </w:p>
        </w:tc>
        <w:tc>
          <w:tcPr>
            <w:tcW w:w="748" w:type="pct"/>
            <w:gridSpan w:val="2"/>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highlight w:val="yellow"/>
              </w:rPr>
            </w:pPr>
            <w:r w:rsidRPr="006D2D0A">
              <w:rPr>
                <w:b/>
                <w:sz w:val="18"/>
              </w:rPr>
              <w:t>8</w:t>
            </w:r>
          </w:p>
        </w:tc>
        <w:tc>
          <w:tcPr>
            <w:tcW w:w="749" w:type="pct"/>
            <w:gridSpan w:val="2"/>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highlight w:val="yellow"/>
              </w:rPr>
            </w:pPr>
            <w:r w:rsidRPr="006D2D0A">
              <w:rPr>
                <w:sz w:val="18"/>
              </w:rPr>
              <w:t>15</w:t>
            </w:r>
          </w:p>
        </w:tc>
      </w:tr>
      <w:tr w:rsidR="00FA0359" w:rsidRPr="006D2D0A" w:rsidTr="00562F9C">
        <w:trPr>
          <w:trHeight w:val="20"/>
        </w:trPr>
        <w:tc>
          <w:tcPr>
            <w:tcW w:w="245" w:type="pct"/>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FA0359" w:rsidRPr="006D2D0A" w:rsidRDefault="00FA0359" w:rsidP="00704CC0">
            <w:pPr>
              <w:pStyle w:val="Normal-Table"/>
              <w:tabs>
                <w:tab w:val="left" w:pos="567"/>
                <w:tab w:val="left" w:pos="1134"/>
                <w:tab w:val="left" w:pos="1701"/>
                <w:tab w:val="left" w:pos="2268"/>
              </w:tabs>
              <w:rPr>
                <w:sz w:val="18"/>
              </w:rPr>
            </w:pPr>
            <w:r w:rsidRPr="006D2D0A">
              <w:rPr>
                <w:sz w:val="18"/>
              </w:rPr>
              <w:t xml:space="preserve">Dividend received </w:t>
            </w:r>
          </w:p>
        </w:tc>
        <w:tc>
          <w:tcPr>
            <w:tcW w:w="748" w:type="pct"/>
            <w:tcBorders>
              <w:left w:val="nil"/>
              <w:bottom w:val="single" w:sz="4" w:space="0" w:color="auto"/>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w:t>
            </w:r>
          </w:p>
        </w:tc>
        <w:tc>
          <w:tcPr>
            <w:tcW w:w="748" w:type="pct"/>
            <w:gridSpan w:val="2"/>
            <w:tcBorders>
              <w:left w:val="nil"/>
              <w:bottom w:val="single" w:sz="4" w:space="0" w:color="auto"/>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85</w:t>
            </w:r>
          </w:p>
        </w:tc>
        <w:tc>
          <w:tcPr>
            <w:tcW w:w="748" w:type="pct"/>
            <w:gridSpan w:val="2"/>
            <w:tcBorders>
              <w:left w:val="nil"/>
              <w:bottom w:val="single" w:sz="4" w:space="0" w:color="auto"/>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w:t>
            </w:r>
          </w:p>
        </w:tc>
        <w:tc>
          <w:tcPr>
            <w:tcW w:w="749" w:type="pct"/>
            <w:gridSpan w:val="2"/>
            <w:tcBorders>
              <w:left w:val="nil"/>
              <w:bottom w:val="single" w:sz="4" w:space="0" w:color="auto"/>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w:t>
            </w:r>
          </w:p>
        </w:tc>
      </w:tr>
      <w:tr w:rsidR="00FA0359" w:rsidRPr="006D2D0A" w:rsidTr="00562F9C">
        <w:trPr>
          <w:trHeight w:val="20"/>
        </w:trPr>
        <w:tc>
          <w:tcPr>
            <w:tcW w:w="245" w:type="pct"/>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FA0359" w:rsidRPr="006D2D0A" w:rsidRDefault="00FA0359" w:rsidP="00704CC0">
            <w:pPr>
              <w:pStyle w:val="Normal-Table"/>
              <w:tabs>
                <w:tab w:val="left" w:pos="567"/>
                <w:tab w:val="left" w:pos="1134"/>
                <w:tab w:val="left" w:pos="1701"/>
                <w:tab w:val="left" w:pos="2268"/>
              </w:tabs>
              <w:rPr>
                <w:b/>
                <w:sz w:val="18"/>
              </w:rPr>
            </w:pPr>
            <w:r w:rsidRPr="006D2D0A">
              <w:rPr>
                <w:b/>
                <w:sz w:val="18"/>
              </w:rPr>
              <w:t xml:space="preserve">Net cash used in investing activities </w:t>
            </w:r>
          </w:p>
        </w:tc>
        <w:tc>
          <w:tcPr>
            <w:tcW w:w="779" w:type="pct"/>
            <w:gridSpan w:val="2"/>
            <w:tcBorders>
              <w:top w:val="single" w:sz="4" w:space="0" w:color="auto"/>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7,725</w:t>
            </w:r>
          </w:p>
        </w:tc>
        <w:tc>
          <w:tcPr>
            <w:tcW w:w="738" w:type="pct"/>
            <w:gridSpan w:val="2"/>
            <w:tcBorders>
              <w:top w:val="single" w:sz="4" w:space="0" w:color="auto"/>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(197)</w:t>
            </w:r>
          </w:p>
        </w:tc>
        <w:tc>
          <w:tcPr>
            <w:tcW w:w="738" w:type="pct"/>
            <w:gridSpan w:val="2"/>
            <w:tcBorders>
              <w:top w:val="single" w:sz="4" w:space="0" w:color="auto"/>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7,712</w:t>
            </w:r>
          </w:p>
        </w:tc>
        <w:tc>
          <w:tcPr>
            <w:tcW w:w="738" w:type="pct"/>
            <w:tcBorders>
              <w:top w:val="single" w:sz="4" w:space="0" w:color="auto"/>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(665)</w:t>
            </w:r>
          </w:p>
        </w:tc>
      </w:tr>
      <w:tr w:rsidR="00704CC0" w:rsidRPr="006D2D0A" w:rsidTr="00562F9C">
        <w:trPr>
          <w:trHeight w:val="255"/>
        </w:trPr>
        <w:tc>
          <w:tcPr>
            <w:tcW w:w="245" w:type="pct"/>
            <w:tcBorders>
              <w:top w:val="nil"/>
              <w:left w:val="nil"/>
              <w:bottom w:val="nil"/>
              <w:right w:val="nil"/>
            </w:tcBorders>
            <w:shd w:val="clear" w:color="auto" w:fill="auto"/>
            <w:noWrap/>
            <w:vAlign w:val="bottom"/>
          </w:tcPr>
          <w:p w:rsidR="00704CC0" w:rsidRPr="006D2D0A" w:rsidRDefault="00704CC0" w:rsidP="00704CC0">
            <w:pPr>
              <w:pStyle w:val="Normal-Table"/>
              <w:tabs>
                <w:tab w:val="left" w:pos="567"/>
                <w:tab w:val="left" w:pos="1134"/>
                <w:tab w:val="left" w:pos="1701"/>
                <w:tab w:val="left" w:pos="2268"/>
              </w:tabs>
              <w:rPr>
                <w:b/>
                <w:sz w:val="18"/>
              </w:rPr>
            </w:pPr>
          </w:p>
        </w:tc>
        <w:tc>
          <w:tcPr>
            <w:tcW w:w="1762" w:type="pct"/>
            <w:tcBorders>
              <w:top w:val="nil"/>
              <w:left w:val="nil"/>
              <w:bottom w:val="nil"/>
              <w:right w:val="nil"/>
            </w:tcBorders>
            <w:shd w:val="clear" w:color="auto" w:fill="auto"/>
          </w:tcPr>
          <w:p w:rsidR="00704CC0" w:rsidRPr="006D2D0A" w:rsidRDefault="00704CC0" w:rsidP="00704CC0">
            <w:pPr>
              <w:pStyle w:val="Normal-Table"/>
              <w:tabs>
                <w:tab w:val="left" w:pos="567"/>
                <w:tab w:val="left" w:pos="1134"/>
                <w:tab w:val="left" w:pos="1701"/>
                <w:tab w:val="left" w:pos="2268"/>
              </w:tabs>
              <w:rPr>
                <w:b/>
                <w:sz w:val="18"/>
              </w:rPr>
            </w:pPr>
          </w:p>
        </w:tc>
        <w:tc>
          <w:tcPr>
            <w:tcW w:w="779" w:type="pct"/>
            <w:gridSpan w:val="2"/>
            <w:tcBorders>
              <w:left w:val="nil"/>
              <w:right w:val="nil"/>
            </w:tcBorders>
            <w:shd w:val="clear" w:color="auto" w:fill="auto"/>
            <w:noWrap/>
          </w:tcPr>
          <w:p w:rsidR="00704CC0" w:rsidRPr="006D2D0A" w:rsidRDefault="00704CC0" w:rsidP="00704CC0">
            <w:pPr>
              <w:pStyle w:val="Normal-Table"/>
              <w:tabs>
                <w:tab w:val="left" w:pos="567"/>
                <w:tab w:val="left" w:pos="1134"/>
                <w:tab w:val="left" w:pos="1701"/>
                <w:tab w:val="left" w:pos="2268"/>
              </w:tabs>
              <w:rPr>
                <w:b/>
                <w:sz w:val="18"/>
              </w:rPr>
            </w:pPr>
          </w:p>
        </w:tc>
        <w:tc>
          <w:tcPr>
            <w:tcW w:w="738" w:type="pct"/>
            <w:gridSpan w:val="2"/>
            <w:tcBorders>
              <w:left w:val="nil"/>
              <w:right w:val="nil"/>
            </w:tcBorders>
            <w:shd w:val="clear" w:color="auto" w:fill="auto"/>
            <w:noWrap/>
          </w:tcPr>
          <w:p w:rsidR="00704CC0" w:rsidRPr="006D2D0A" w:rsidRDefault="00704CC0" w:rsidP="00704CC0">
            <w:pPr>
              <w:pStyle w:val="Normal-Table"/>
              <w:tabs>
                <w:tab w:val="left" w:pos="567"/>
                <w:tab w:val="left" w:pos="1134"/>
                <w:tab w:val="left" w:pos="1701"/>
                <w:tab w:val="left" w:pos="2268"/>
              </w:tabs>
              <w:rPr>
                <w:sz w:val="18"/>
              </w:rPr>
            </w:pPr>
          </w:p>
        </w:tc>
        <w:tc>
          <w:tcPr>
            <w:tcW w:w="738" w:type="pct"/>
            <w:gridSpan w:val="2"/>
            <w:tcBorders>
              <w:left w:val="nil"/>
              <w:right w:val="nil"/>
            </w:tcBorders>
            <w:shd w:val="clear" w:color="auto" w:fill="auto"/>
            <w:noWrap/>
          </w:tcPr>
          <w:p w:rsidR="00704CC0" w:rsidRPr="006D2D0A" w:rsidRDefault="00704CC0" w:rsidP="00704CC0">
            <w:pPr>
              <w:pStyle w:val="Normal-Table"/>
              <w:tabs>
                <w:tab w:val="left" w:pos="567"/>
                <w:tab w:val="left" w:pos="1134"/>
                <w:tab w:val="left" w:pos="1701"/>
                <w:tab w:val="left" w:pos="2268"/>
              </w:tabs>
              <w:rPr>
                <w:b/>
                <w:sz w:val="18"/>
              </w:rPr>
            </w:pPr>
          </w:p>
        </w:tc>
        <w:tc>
          <w:tcPr>
            <w:tcW w:w="738" w:type="pct"/>
            <w:tcBorders>
              <w:left w:val="nil"/>
              <w:right w:val="nil"/>
            </w:tcBorders>
            <w:shd w:val="clear" w:color="auto" w:fill="auto"/>
            <w:noWrap/>
          </w:tcPr>
          <w:p w:rsidR="00704CC0" w:rsidRPr="006D2D0A" w:rsidRDefault="00704CC0" w:rsidP="00704CC0">
            <w:pPr>
              <w:pStyle w:val="Normal-Table"/>
              <w:tabs>
                <w:tab w:val="left" w:pos="567"/>
                <w:tab w:val="left" w:pos="1134"/>
                <w:tab w:val="left" w:pos="1701"/>
                <w:tab w:val="left" w:pos="2268"/>
              </w:tabs>
              <w:rPr>
                <w:sz w:val="18"/>
              </w:rPr>
            </w:pPr>
          </w:p>
        </w:tc>
      </w:tr>
      <w:tr w:rsidR="00FA0359" w:rsidRPr="006D2D0A" w:rsidTr="00562F9C">
        <w:trPr>
          <w:trHeight w:val="255"/>
        </w:trPr>
        <w:tc>
          <w:tcPr>
            <w:tcW w:w="245" w:type="pct"/>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rPr>
                <w:b/>
                <w:sz w:val="18"/>
              </w:rPr>
            </w:pPr>
            <w:r w:rsidRPr="006D2D0A">
              <w:rPr>
                <w:b/>
                <w:sz w:val="18"/>
              </w:rPr>
              <w:t>(c)</w:t>
            </w:r>
          </w:p>
        </w:tc>
        <w:tc>
          <w:tcPr>
            <w:tcW w:w="1762" w:type="pct"/>
            <w:tcBorders>
              <w:top w:val="nil"/>
              <w:left w:val="nil"/>
              <w:bottom w:val="nil"/>
              <w:right w:val="nil"/>
            </w:tcBorders>
            <w:shd w:val="clear" w:color="auto" w:fill="auto"/>
          </w:tcPr>
          <w:p w:rsidR="00FA0359" w:rsidRPr="006D2D0A" w:rsidRDefault="00FA0359" w:rsidP="00704CC0">
            <w:pPr>
              <w:pStyle w:val="Normal-Table"/>
              <w:tabs>
                <w:tab w:val="left" w:pos="567"/>
                <w:tab w:val="left" w:pos="1134"/>
                <w:tab w:val="left" w:pos="1701"/>
                <w:tab w:val="left" w:pos="2268"/>
              </w:tabs>
              <w:rPr>
                <w:b/>
                <w:sz w:val="18"/>
              </w:rPr>
            </w:pPr>
            <w:r w:rsidRPr="006D2D0A">
              <w:rPr>
                <w:b/>
                <w:sz w:val="18"/>
              </w:rPr>
              <w:t>Financing activities</w:t>
            </w:r>
          </w:p>
        </w:tc>
        <w:tc>
          <w:tcPr>
            <w:tcW w:w="779" w:type="pct"/>
            <w:gridSpan w:val="2"/>
            <w:tcBorders>
              <w:left w:val="nil"/>
              <w:right w:val="nil"/>
            </w:tcBorders>
            <w:shd w:val="clear" w:color="auto" w:fill="auto"/>
            <w:noWrap/>
          </w:tcPr>
          <w:p w:rsidR="00FA0359" w:rsidRPr="006D2D0A" w:rsidRDefault="00FA0359" w:rsidP="00704CC0">
            <w:pPr>
              <w:pStyle w:val="Normal-Table"/>
              <w:tabs>
                <w:tab w:val="left" w:pos="567"/>
                <w:tab w:val="left" w:pos="1134"/>
                <w:tab w:val="left" w:pos="1701"/>
                <w:tab w:val="left" w:pos="2268"/>
              </w:tabs>
              <w:rPr>
                <w:b/>
                <w:sz w:val="18"/>
              </w:rPr>
            </w:pPr>
          </w:p>
        </w:tc>
        <w:tc>
          <w:tcPr>
            <w:tcW w:w="738" w:type="pct"/>
            <w:gridSpan w:val="2"/>
            <w:tcBorders>
              <w:left w:val="nil"/>
              <w:right w:val="nil"/>
            </w:tcBorders>
            <w:shd w:val="clear" w:color="auto" w:fill="auto"/>
            <w:noWrap/>
          </w:tcPr>
          <w:p w:rsidR="00FA0359" w:rsidRPr="006D2D0A" w:rsidRDefault="00FA0359" w:rsidP="00704CC0">
            <w:pPr>
              <w:pStyle w:val="Normal-Table"/>
              <w:tabs>
                <w:tab w:val="left" w:pos="567"/>
                <w:tab w:val="left" w:pos="1134"/>
                <w:tab w:val="left" w:pos="1701"/>
                <w:tab w:val="left" w:pos="2268"/>
              </w:tabs>
              <w:rPr>
                <w:sz w:val="18"/>
              </w:rPr>
            </w:pPr>
          </w:p>
        </w:tc>
        <w:tc>
          <w:tcPr>
            <w:tcW w:w="738" w:type="pct"/>
            <w:gridSpan w:val="2"/>
            <w:tcBorders>
              <w:left w:val="nil"/>
              <w:right w:val="nil"/>
            </w:tcBorders>
            <w:shd w:val="clear" w:color="auto" w:fill="auto"/>
            <w:noWrap/>
          </w:tcPr>
          <w:p w:rsidR="00FA0359" w:rsidRPr="006D2D0A" w:rsidRDefault="00FA0359" w:rsidP="00704CC0">
            <w:pPr>
              <w:pStyle w:val="Normal-Table"/>
              <w:tabs>
                <w:tab w:val="left" w:pos="567"/>
                <w:tab w:val="left" w:pos="1134"/>
                <w:tab w:val="left" w:pos="1701"/>
                <w:tab w:val="left" w:pos="2268"/>
              </w:tabs>
              <w:rPr>
                <w:b/>
                <w:sz w:val="18"/>
              </w:rPr>
            </w:pPr>
          </w:p>
        </w:tc>
        <w:tc>
          <w:tcPr>
            <w:tcW w:w="738" w:type="pct"/>
            <w:tcBorders>
              <w:left w:val="nil"/>
              <w:right w:val="nil"/>
            </w:tcBorders>
            <w:shd w:val="clear" w:color="auto" w:fill="auto"/>
            <w:noWrap/>
          </w:tcPr>
          <w:p w:rsidR="00FA0359" w:rsidRPr="006D2D0A" w:rsidRDefault="00FA0359" w:rsidP="00704CC0">
            <w:pPr>
              <w:pStyle w:val="Normal-Table"/>
              <w:tabs>
                <w:tab w:val="left" w:pos="567"/>
                <w:tab w:val="left" w:pos="1134"/>
                <w:tab w:val="left" w:pos="1701"/>
                <w:tab w:val="left" w:pos="2268"/>
              </w:tabs>
              <w:rPr>
                <w:sz w:val="18"/>
              </w:rPr>
            </w:pPr>
          </w:p>
        </w:tc>
      </w:tr>
      <w:tr w:rsidR="00FA0359" w:rsidRPr="006D2D0A" w:rsidTr="00562F9C">
        <w:trPr>
          <w:trHeight w:val="255"/>
        </w:trPr>
        <w:tc>
          <w:tcPr>
            <w:tcW w:w="245" w:type="pct"/>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FA0359" w:rsidRPr="006D2D0A" w:rsidRDefault="00FA0359" w:rsidP="00704CC0">
            <w:pPr>
              <w:pStyle w:val="Normal-Table"/>
              <w:tabs>
                <w:tab w:val="left" w:pos="567"/>
                <w:tab w:val="left" w:pos="1134"/>
                <w:tab w:val="left" w:pos="1701"/>
                <w:tab w:val="left" w:pos="2268"/>
              </w:tabs>
              <w:rPr>
                <w:sz w:val="18"/>
              </w:rPr>
            </w:pPr>
            <w:r w:rsidRPr="006D2D0A">
              <w:rPr>
                <w:sz w:val="18"/>
              </w:rPr>
              <w:t>Shares bought back for cancellation/under tender offer</w:t>
            </w:r>
          </w:p>
        </w:tc>
        <w:tc>
          <w:tcPr>
            <w:tcW w:w="779" w:type="pct"/>
            <w:gridSpan w:val="2"/>
            <w:tcBorders>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(9,000)</w:t>
            </w:r>
          </w:p>
        </w:tc>
        <w:tc>
          <w:tcPr>
            <w:tcW w:w="738" w:type="pct"/>
            <w:gridSpan w:val="2"/>
            <w:tcBorders>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(232)</w:t>
            </w:r>
          </w:p>
        </w:tc>
        <w:tc>
          <w:tcPr>
            <w:tcW w:w="738" w:type="pct"/>
            <w:gridSpan w:val="2"/>
            <w:tcBorders>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(9,000)</w:t>
            </w:r>
          </w:p>
        </w:tc>
        <w:tc>
          <w:tcPr>
            <w:tcW w:w="738" w:type="pct"/>
            <w:tcBorders>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(232)</w:t>
            </w:r>
          </w:p>
        </w:tc>
      </w:tr>
      <w:tr w:rsidR="00FA0359" w:rsidRPr="006D2D0A" w:rsidTr="00562F9C">
        <w:trPr>
          <w:trHeight w:val="255"/>
        </w:trPr>
        <w:tc>
          <w:tcPr>
            <w:tcW w:w="245" w:type="pct"/>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FA0359" w:rsidRPr="006D2D0A" w:rsidRDefault="00FA0359" w:rsidP="00704CC0">
            <w:pPr>
              <w:pStyle w:val="Normal-Table"/>
              <w:tabs>
                <w:tab w:val="left" w:pos="567"/>
                <w:tab w:val="left" w:pos="1134"/>
                <w:tab w:val="left" w:pos="1701"/>
                <w:tab w:val="left" w:pos="2268"/>
              </w:tabs>
              <w:rPr>
                <w:b/>
                <w:sz w:val="18"/>
              </w:rPr>
            </w:pPr>
            <w:r w:rsidRPr="006D2D0A">
              <w:rPr>
                <w:b/>
                <w:sz w:val="18"/>
              </w:rPr>
              <w:t xml:space="preserve">Net cash used in financing activities </w:t>
            </w:r>
          </w:p>
        </w:tc>
        <w:tc>
          <w:tcPr>
            <w:tcW w:w="779" w:type="pct"/>
            <w:gridSpan w:val="2"/>
            <w:tcBorders>
              <w:top w:val="single" w:sz="4" w:space="0" w:color="auto"/>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(9,000)</w:t>
            </w:r>
          </w:p>
        </w:tc>
        <w:tc>
          <w:tcPr>
            <w:tcW w:w="738" w:type="pct"/>
            <w:gridSpan w:val="2"/>
            <w:tcBorders>
              <w:top w:val="single" w:sz="4" w:space="0" w:color="auto"/>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(232)</w:t>
            </w:r>
          </w:p>
        </w:tc>
        <w:tc>
          <w:tcPr>
            <w:tcW w:w="738" w:type="pct"/>
            <w:gridSpan w:val="2"/>
            <w:tcBorders>
              <w:top w:val="single" w:sz="4" w:space="0" w:color="auto"/>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(9,000)</w:t>
            </w:r>
          </w:p>
        </w:tc>
        <w:tc>
          <w:tcPr>
            <w:tcW w:w="738" w:type="pct"/>
            <w:tcBorders>
              <w:top w:val="single" w:sz="4" w:space="0" w:color="auto"/>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(232)</w:t>
            </w:r>
          </w:p>
        </w:tc>
      </w:tr>
      <w:tr w:rsidR="00FA0359" w:rsidRPr="006D2D0A" w:rsidTr="00562F9C">
        <w:trPr>
          <w:trHeight w:val="270"/>
        </w:trPr>
        <w:tc>
          <w:tcPr>
            <w:tcW w:w="245" w:type="pct"/>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FA0359" w:rsidRPr="006D2D0A" w:rsidRDefault="00FA0359" w:rsidP="00704CC0">
            <w:pPr>
              <w:pStyle w:val="Normal-Table"/>
              <w:tabs>
                <w:tab w:val="left" w:pos="567"/>
                <w:tab w:val="left" w:pos="1134"/>
                <w:tab w:val="left" w:pos="1701"/>
                <w:tab w:val="left" w:pos="2268"/>
              </w:tabs>
              <w:rPr>
                <w:b/>
                <w:sz w:val="18"/>
              </w:rPr>
            </w:pPr>
            <w:r w:rsidRPr="006D2D0A">
              <w:rPr>
                <w:b/>
                <w:sz w:val="18"/>
              </w:rPr>
              <w:t xml:space="preserve">Net decrease in cash and cash equivalents </w:t>
            </w:r>
          </w:p>
        </w:tc>
        <w:tc>
          <w:tcPr>
            <w:tcW w:w="779" w:type="pct"/>
            <w:gridSpan w:val="2"/>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(2,304)</w:t>
            </w:r>
          </w:p>
        </w:tc>
        <w:tc>
          <w:tcPr>
            <w:tcW w:w="738" w:type="pct"/>
            <w:gridSpan w:val="2"/>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(1,354)</w:t>
            </w:r>
          </w:p>
        </w:tc>
        <w:tc>
          <w:tcPr>
            <w:tcW w:w="738" w:type="pct"/>
            <w:gridSpan w:val="2"/>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(1,68</w:t>
            </w:r>
            <w:r w:rsidR="00AB3105" w:rsidRPr="006D2D0A">
              <w:rPr>
                <w:b/>
                <w:sz w:val="18"/>
              </w:rPr>
              <w:t>2</w:t>
            </w:r>
            <w:r w:rsidRPr="006D2D0A">
              <w:rPr>
                <w:b/>
                <w:sz w:val="18"/>
              </w:rPr>
              <w:t>)</w:t>
            </w:r>
          </w:p>
        </w:tc>
        <w:tc>
          <w:tcPr>
            <w:tcW w:w="738" w:type="pct"/>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(1,268)</w:t>
            </w:r>
          </w:p>
        </w:tc>
      </w:tr>
      <w:tr w:rsidR="00FA0359" w:rsidRPr="006D2D0A" w:rsidTr="00562F9C">
        <w:trPr>
          <w:trHeight w:val="270"/>
        </w:trPr>
        <w:tc>
          <w:tcPr>
            <w:tcW w:w="245" w:type="pct"/>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FA0359" w:rsidRPr="006D2D0A" w:rsidRDefault="00FA0359" w:rsidP="00704CC0">
            <w:pPr>
              <w:pStyle w:val="Normal-Table"/>
              <w:tabs>
                <w:tab w:val="left" w:pos="567"/>
                <w:tab w:val="left" w:pos="1134"/>
                <w:tab w:val="left" w:pos="1701"/>
                <w:tab w:val="left" w:pos="2268"/>
              </w:tabs>
              <w:rPr>
                <w:b/>
                <w:sz w:val="18"/>
              </w:rPr>
            </w:pPr>
            <w:r w:rsidRPr="006D2D0A">
              <w:rPr>
                <w:b/>
                <w:sz w:val="18"/>
              </w:rPr>
              <w:t xml:space="preserve">Cash and cash equivalents at beginning of the year </w:t>
            </w:r>
          </w:p>
        </w:tc>
        <w:tc>
          <w:tcPr>
            <w:tcW w:w="779" w:type="pct"/>
            <w:gridSpan w:val="2"/>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3,776</w:t>
            </w:r>
          </w:p>
        </w:tc>
        <w:tc>
          <w:tcPr>
            <w:tcW w:w="738" w:type="pct"/>
            <w:gridSpan w:val="2"/>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5,130</w:t>
            </w:r>
          </w:p>
        </w:tc>
        <w:tc>
          <w:tcPr>
            <w:tcW w:w="738" w:type="pct"/>
            <w:gridSpan w:val="2"/>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2,497</w:t>
            </w:r>
          </w:p>
        </w:tc>
        <w:tc>
          <w:tcPr>
            <w:tcW w:w="738" w:type="pct"/>
            <w:tcBorders>
              <w:top w:val="nil"/>
              <w:left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3,765</w:t>
            </w:r>
          </w:p>
        </w:tc>
      </w:tr>
      <w:tr w:rsidR="00FA0359" w:rsidRPr="006D2D0A" w:rsidTr="00562F9C">
        <w:trPr>
          <w:trHeight w:val="255"/>
        </w:trPr>
        <w:tc>
          <w:tcPr>
            <w:tcW w:w="245" w:type="pct"/>
            <w:tcBorders>
              <w:top w:val="nil"/>
              <w:left w:val="nil"/>
              <w:bottom w:val="nil"/>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rPr>
                <w:sz w:val="18"/>
              </w:rPr>
            </w:pPr>
          </w:p>
        </w:tc>
        <w:tc>
          <w:tcPr>
            <w:tcW w:w="1762" w:type="pct"/>
            <w:tcBorders>
              <w:top w:val="nil"/>
              <w:left w:val="nil"/>
              <w:bottom w:val="nil"/>
              <w:right w:val="nil"/>
            </w:tcBorders>
            <w:shd w:val="clear" w:color="auto" w:fill="auto"/>
          </w:tcPr>
          <w:p w:rsidR="00FA0359" w:rsidRPr="006D2D0A" w:rsidRDefault="00FA0359" w:rsidP="00704CC0">
            <w:pPr>
              <w:pStyle w:val="Normal-Table"/>
              <w:tabs>
                <w:tab w:val="left" w:pos="567"/>
                <w:tab w:val="left" w:pos="1134"/>
                <w:tab w:val="left" w:pos="1701"/>
                <w:tab w:val="left" w:pos="2268"/>
              </w:tabs>
              <w:rPr>
                <w:b/>
                <w:sz w:val="18"/>
              </w:rPr>
            </w:pPr>
            <w:r w:rsidRPr="006D2D0A">
              <w:rPr>
                <w:b/>
                <w:sz w:val="18"/>
              </w:rPr>
              <w:t>Cash and cash equivalents at end of the year</w:t>
            </w:r>
          </w:p>
        </w:tc>
        <w:tc>
          <w:tcPr>
            <w:tcW w:w="779" w:type="pct"/>
            <w:gridSpan w:val="2"/>
            <w:tcBorders>
              <w:top w:val="single" w:sz="8" w:space="0" w:color="auto"/>
              <w:left w:val="nil"/>
              <w:bottom w:val="single" w:sz="4" w:space="0" w:color="auto"/>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1,472</w:t>
            </w:r>
          </w:p>
        </w:tc>
        <w:tc>
          <w:tcPr>
            <w:tcW w:w="738" w:type="pct"/>
            <w:gridSpan w:val="2"/>
            <w:tcBorders>
              <w:top w:val="single" w:sz="8" w:space="0" w:color="auto"/>
              <w:left w:val="nil"/>
              <w:bottom w:val="single" w:sz="4" w:space="0" w:color="auto"/>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3,776</w:t>
            </w:r>
          </w:p>
        </w:tc>
        <w:tc>
          <w:tcPr>
            <w:tcW w:w="738" w:type="pct"/>
            <w:gridSpan w:val="2"/>
            <w:tcBorders>
              <w:top w:val="single" w:sz="8" w:space="0" w:color="auto"/>
              <w:left w:val="nil"/>
              <w:bottom w:val="single" w:sz="4" w:space="0" w:color="auto"/>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b/>
                <w:sz w:val="18"/>
              </w:rPr>
            </w:pPr>
            <w:r w:rsidRPr="006D2D0A">
              <w:rPr>
                <w:b/>
                <w:sz w:val="18"/>
              </w:rPr>
              <w:t>81</w:t>
            </w:r>
            <w:r w:rsidR="00E616FD" w:rsidRPr="006D2D0A">
              <w:rPr>
                <w:b/>
                <w:sz w:val="18"/>
              </w:rPr>
              <w:t>5</w:t>
            </w:r>
          </w:p>
        </w:tc>
        <w:tc>
          <w:tcPr>
            <w:tcW w:w="738" w:type="pct"/>
            <w:tcBorders>
              <w:top w:val="single" w:sz="8" w:space="0" w:color="auto"/>
              <w:left w:val="nil"/>
              <w:bottom w:val="single" w:sz="4" w:space="0" w:color="auto"/>
              <w:right w:val="nil"/>
            </w:tcBorders>
            <w:shd w:val="clear" w:color="auto" w:fill="auto"/>
            <w:noWrap/>
            <w:vAlign w:val="bottom"/>
          </w:tcPr>
          <w:p w:rsidR="00FA0359" w:rsidRPr="006D2D0A" w:rsidRDefault="00FA0359" w:rsidP="00704CC0">
            <w:pPr>
              <w:pStyle w:val="Normal-Table"/>
              <w:tabs>
                <w:tab w:val="left" w:pos="567"/>
                <w:tab w:val="left" w:pos="1134"/>
                <w:tab w:val="left" w:pos="1701"/>
                <w:tab w:val="left" w:pos="2268"/>
              </w:tabs>
              <w:jc w:val="right"/>
              <w:rPr>
                <w:sz w:val="18"/>
              </w:rPr>
            </w:pPr>
            <w:r w:rsidRPr="006D2D0A">
              <w:rPr>
                <w:sz w:val="18"/>
              </w:rPr>
              <w:t>2,497</w:t>
            </w:r>
          </w:p>
        </w:tc>
      </w:tr>
    </w:tbl>
    <w:p w:rsidR="002C7724" w:rsidRPr="00EB02DA" w:rsidRDefault="00C31968" w:rsidP="00704CC0">
      <w:pPr>
        <w:pStyle w:val="Normal2-Para"/>
        <w:tabs>
          <w:tab w:val="left" w:pos="567"/>
          <w:tab w:val="left" w:pos="1134"/>
          <w:tab w:val="left" w:pos="1701"/>
          <w:tab w:val="left" w:pos="2268"/>
        </w:tabs>
        <w:spacing w:line="240" w:lineRule="auto"/>
        <w:rPr>
          <w:i/>
        </w:rPr>
      </w:pPr>
      <w:r w:rsidRPr="00EB02DA">
        <w:rPr>
          <w:i/>
        </w:rPr>
        <w:t>(The accompanying notes are an integral part of the financial statements.)</w:t>
      </w:r>
      <w:bookmarkStart w:id="14" w:name="_Toc286417105"/>
    </w:p>
    <w:p w:rsidR="00330F4B" w:rsidRPr="00704CC0" w:rsidRDefault="00330F4B" w:rsidP="00704CC0">
      <w:pPr>
        <w:pStyle w:val="Heading2-Para"/>
        <w:spacing w:before="720" w:after="120"/>
        <w:rPr>
          <w:sz w:val="24"/>
          <w:szCs w:val="24"/>
        </w:rPr>
      </w:pPr>
      <w:bookmarkStart w:id="15" w:name="_Toc317955101"/>
      <w:r w:rsidRPr="00704CC0">
        <w:rPr>
          <w:sz w:val="24"/>
          <w:szCs w:val="24"/>
        </w:rPr>
        <w:t>Consolidated Statement of Changes in Equity</w:t>
      </w:r>
      <w:bookmarkEnd w:id="15"/>
    </w:p>
    <w:tbl>
      <w:tblPr>
        <w:tblW w:w="8896" w:type="dxa"/>
        <w:tblLayout w:type="fixed"/>
        <w:tblCellMar>
          <w:top w:w="28" w:type="dxa"/>
          <w:left w:w="0" w:type="dxa"/>
          <w:bottom w:w="28" w:type="dxa"/>
          <w:right w:w="57" w:type="dxa"/>
        </w:tblCellMar>
        <w:tblLook w:val="04A0"/>
      </w:tblPr>
      <w:tblGrid>
        <w:gridCol w:w="1888"/>
        <w:gridCol w:w="1167"/>
        <w:gridCol w:w="1169"/>
        <w:gridCol w:w="1167"/>
        <w:gridCol w:w="1169"/>
        <w:gridCol w:w="1238"/>
        <w:gridCol w:w="1098"/>
      </w:tblGrid>
      <w:tr w:rsidR="006D2D0A" w:rsidRPr="00EB02DA" w:rsidTr="00562F9C">
        <w:trPr>
          <w:cantSplit/>
          <w:trHeight w:val="1035"/>
        </w:trPr>
        <w:tc>
          <w:tcPr>
            <w:tcW w:w="1061" w:type="pct"/>
            <w:tcBorders>
              <w:top w:val="nil"/>
              <w:left w:val="nil"/>
              <w:right w:val="nil"/>
            </w:tcBorders>
            <w:shd w:val="clear" w:color="auto" w:fill="auto"/>
            <w:noWrap/>
          </w:tcPr>
          <w:p w:rsidR="006D2D0A" w:rsidRPr="00EB02DA" w:rsidRDefault="006D2D0A" w:rsidP="00704CC0">
            <w:pPr>
              <w:pStyle w:val="Normal-Table"/>
              <w:tabs>
                <w:tab w:val="left" w:pos="567"/>
                <w:tab w:val="left" w:pos="1134"/>
                <w:tab w:val="left" w:pos="1701"/>
                <w:tab w:val="left" w:pos="2268"/>
              </w:tabs>
              <w:rPr>
                <w:b/>
                <w:sz w:val="18"/>
              </w:rPr>
            </w:pPr>
          </w:p>
        </w:tc>
        <w:tc>
          <w:tcPr>
            <w:tcW w:w="656" w:type="pct"/>
            <w:tcBorders>
              <w:left w:val="nil"/>
            </w:tcBorders>
            <w:shd w:val="clear" w:color="auto" w:fill="auto"/>
            <w:noWrap/>
            <w:vAlign w:val="bottom"/>
          </w:tcPr>
          <w:p w:rsidR="006D2D0A" w:rsidRPr="00EB02DA" w:rsidRDefault="006D2D0A" w:rsidP="00704CC0">
            <w:pPr>
              <w:pStyle w:val="Normal-Table"/>
              <w:tabs>
                <w:tab w:val="left" w:pos="567"/>
                <w:tab w:val="left" w:pos="1134"/>
                <w:tab w:val="left" w:pos="1701"/>
                <w:tab w:val="left" w:pos="2268"/>
              </w:tabs>
              <w:jc w:val="right"/>
              <w:rPr>
                <w:b/>
                <w:sz w:val="18"/>
              </w:rPr>
            </w:pPr>
            <w:r w:rsidRPr="00EB02DA">
              <w:rPr>
                <w:b/>
                <w:sz w:val="18"/>
              </w:rPr>
              <w:t>Share capital</w:t>
            </w:r>
          </w:p>
          <w:p w:rsidR="006D2D0A" w:rsidRPr="00EB02DA" w:rsidRDefault="006D2D0A" w:rsidP="00704CC0">
            <w:pPr>
              <w:pStyle w:val="Normal-Table"/>
              <w:tabs>
                <w:tab w:val="left" w:pos="567"/>
                <w:tab w:val="left" w:pos="1134"/>
                <w:tab w:val="left" w:pos="1701"/>
                <w:tab w:val="left" w:pos="2268"/>
              </w:tabs>
              <w:jc w:val="right"/>
              <w:rPr>
                <w:b/>
                <w:sz w:val="18"/>
              </w:rPr>
            </w:pPr>
            <w:r w:rsidRPr="00EB02DA">
              <w:rPr>
                <w:b/>
                <w:sz w:val="18"/>
              </w:rPr>
              <w:t>£'000</w:t>
            </w:r>
          </w:p>
        </w:tc>
        <w:tc>
          <w:tcPr>
            <w:tcW w:w="657" w:type="pct"/>
            <w:shd w:val="clear" w:color="auto" w:fill="auto"/>
            <w:vAlign w:val="bottom"/>
          </w:tcPr>
          <w:p w:rsidR="006D2D0A" w:rsidRPr="00EB02DA" w:rsidRDefault="006D2D0A" w:rsidP="00704CC0">
            <w:pPr>
              <w:pStyle w:val="Normal-Table"/>
              <w:tabs>
                <w:tab w:val="left" w:pos="567"/>
                <w:tab w:val="left" w:pos="1134"/>
                <w:tab w:val="left" w:pos="1701"/>
                <w:tab w:val="left" w:pos="2268"/>
              </w:tabs>
              <w:jc w:val="right"/>
              <w:rPr>
                <w:b/>
                <w:sz w:val="18"/>
              </w:rPr>
            </w:pPr>
            <w:r w:rsidRPr="00EB02DA">
              <w:rPr>
                <w:b/>
                <w:sz w:val="18"/>
              </w:rPr>
              <w:t>Share premium</w:t>
            </w:r>
          </w:p>
          <w:p w:rsidR="006D2D0A" w:rsidRPr="00EB02DA" w:rsidRDefault="006D2D0A" w:rsidP="00704CC0">
            <w:pPr>
              <w:pStyle w:val="Normal-Table"/>
              <w:tabs>
                <w:tab w:val="left" w:pos="567"/>
                <w:tab w:val="left" w:pos="1134"/>
                <w:tab w:val="left" w:pos="1701"/>
                <w:tab w:val="left" w:pos="2268"/>
              </w:tabs>
              <w:jc w:val="right"/>
              <w:rPr>
                <w:b/>
                <w:sz w:val="18"/>
              </w:rPr>
            </w:pPr>
            <w:r w:rsidRPr="00EB02DA">
              <w:rPr>
                <w:b/>
                <w:sz w:val="18"/>
              </w:rPr>
              <w:t>£'000</w:t>
            </w:r>
          </w:p>
        </w:tc>
        <w:tc>
          <w:tcPr>
            <w:tcW w:w="656" w:type="pct"/>
            <w:vAlign w:val="bottom"/>
          </w:tcPr>
          <w:p w:rsidR="006D2D0A" w:rsidRPr="00EB02DA" w:rsidRDefault="006D2D0A" w:rsidP="00704CC0">
            <w:pPr>
              <w:pStyle w:val="Normal-Table"/>
              <w:tabs>
                <w:tab w:val="left" w:pos="567"/>
                <w:tab w:val="left" w:pos="1134"/>
                <w:tab w:val="left" w:pos="1701"/>
                <w:tab w:val="left" w:pos="2268"/>
              </w:tabs>
              <w:jc w:val="right"/>
              <w:rPr>
                <w:b/>
                <w:sz w:val="18"/>
              </w:rPr>
            </w:pPr>
            <w:r w:rsidRPr="00EB02DA">
              <w:rPr>
                <w:b/>
                <w:sz w:val="18"/>
              </w:rPr>
              <w:t xml:space="preserve">Distributable capital </w:t>
            </w:r>
            <w:r w:rsidRPr="00EB02DA">
              <w:rPr>
                <w:b/>
                <w:sz w:val="18"/>
              </w:rPr>
              <w:br/>
              <w:t>reserve</w:t>
            </w:r>
          </w:p>
          <w:p w:rsidR="006D2D0A" w:rsidRPr="00EB02DA" w:rsidRDefault="006D2D0A" w:rsidP="00704CC0">
            <w:pPr>
              <w:pStyle w:val="Normal-Table"/>
              <w:tabs>
                <w:tab w:val="left" w:pos="567"/>
                <w:tab w:val="left" w:pos="1134"/>
                <w:tab w:val="left" w:pos="1701"/>
                <w:tab w:val="left" w:pos="2268"/>
              </w:tabs>
              <w:jc w:val="right"/>
              <w:rPr>
                <w:b/>
                <w:sz w:val="18"/>
              </w:rPr>
            </w:pPr>
            <w:r w:rsidRPr="00EB02DA">
              <w:rPr>
                <w:b/>
                <w:sz w:val="18"/>
              </w:rPr>
              <w:t>£'000</w:t>
            </w:r>
          </w:p>
        </w:tc>
        <w:tc>
          <w:tcPr>
            <w:tcW w:w="657" w:type="pct"/>
            <w:shd w:val="clear" w:color="auto" w:fill="auto"/>
            <w:vAlign w:val="bottom"/>
          </w:tcPr>
          <w:p w:rsidR="006D2D0A" w:rsidRPr="00EB02DA" w:rsidRDefault="006D2D0A" w:rsidP="00704CC0">
            <w:pPr>
              <w:pStyle w:val="Normal-Table"/>
              <w:tabs>
                <w:tab w:val="left" w:pos="567"/>
                <w:tab w:val="left" w:pos="1134"/>
                <w:tab w:val="left" w:pos="1701"/>
                <w:tab w:val="left" w:pos="2268"/>
              </w:tabs>
              <w:jc w:val="right"/>
              <w:rPr>
                <w:b/>
                <w:sz w:val="18"/>
              </w:rPr>
            </w:pPr>
            <w:r w:rsidRPr="00EB02DA">
              <w:rPr>
                <w:b/>
                <w:sz w:val="18"/>
              </w:rPr>
              <w:t>Unrealised investment revaluation reserve</w:t>
            </w:r>
          </w:p>
          <w:p w:rsidR="006D2D0A" w:rsidRPr="00EB02DA" w:rsidRDefault="006D2D0A" w:rsidP="00704CC0">
            <w:pPr>
              <w:pStyle w:val="Normal-Table"/>
              <w:tabs>
                <w:tab w:val="left" w:pos="567"/>
                <w:tab w:val="left" w:pos="1134"/>
                <w:tab w:val="left" w:pos="1701"/>
                <w:tab w:val="left" w:pos="2268"/>
              </w:tabs>
              <w:jc w:val="right"/>
              <w:rPr>
                <w:b/>
                <w:sz w:val="18"/>
              </w:rPr>
            </w:pPr>
            <w:r w:rsidRPr="00EB02DA">
              <w:rPr>
                <w:b/>
                <w:sz w:val="18"/>
              </w:rPr>
              <w:t>£'000</w:t>
            </w:r>
          </w:p>
        </w:tc>
        <w:tc>
          <w:tcPr>
            <w:tcW w:w="696" w:type="pct"/>
            <w:shd w:val="clear" w:color="auto" w:fill="auto"/>
            <w:vAlign w:val="bottom"/>
          </w:tcPr>
          <w:p w:rsidR="006D2D0A" w:rsidRPr="00EB02DA" w:rsidRDefault="006D2D0A" w:rsidP="00704CC0">
            <w:pPr>
              <w:pStyle w:val="Normal-Table"/>
              <w:tabs>
                <w:tab w:val="left" w:pos="567"/>
                <w:tab w:val="left" w:pos="1134"/>
                <w:tab w:val="left" w:pos="1701"/>
                <w:tab w:val="left" w:pos="2268"/>
              </w:tabs>
              <w:jc w:val="right"/>
              <w:rPr>
                <w:b/>
                <w:sz w:val="18"/>
              </w:rPr>
            </w:pPr>
            <w:r w:rsidRPr="00EB02DA">
              <w:rPr>
                <w:b/>
                <w:sz w:val="18"/>
              </w:rPr>
              <w:t>Accumulated losses</w:t>
            </w:r>
          </w:p>
          <w:p w:rsidR="006D2D0A" w:rsidRPr="00EB02DA" w:rsidRDefault="006D2D0A" w:rsidP="00704CC0">
            <w:pPr>
              <w:pStyle w:val="Normal-Table"/>
              <w:tabs>
                <w:tab w:val="left" w:pos="567"/>
                <w:tab w:val="left" w:pos="1134"/>
                <w:tab w:val="left" w:pos="1701"/>
                <w:tab w:val="left" w:pos="2268"/>
              </w:tabs>
              <w:jc w:val="right"/>
              <w:rPr>
                <w:b/>
                <w:sz w:val="18"/>
              </w:rPr>
            </w:pPr>
            <w:r w:rsidRPr="00EB02DA">
              <w:rPr>
                <w:b/>
                <w:sz w:val="18"/>
              </w:rPr>
              <w:t>£'000</w:t>
            </w:r>
          </w:p>
        </w:tc>
        <w:tc>
          <w:tcPr>
            <w:tcW w:w="617" w:type="pct"/>
            <w:shd w:val="clear" w:color="auto" w:fill="auto"/>
            <w:vAlign w:val="bottom"/>
          </w:tcPr>
          <w:p w:rsidR="006D2D0A" w:rsidRPr="00EB02DA" w:rsidRDefault="006D2D0A" w:rsidP="00704CC0">
            <w:pPr>
              <w:pStyle w:val="Normal-Table"/>
              <w:tabs>
                <w:tab w:val="left" w:pos="567"/>
                <w:tab w:val="left" w:pos="1134"/>
                <w:tab w:val="left" w:pos="1701"/>
                <w:tab w:val="left" w:pos="2268"/>
              </w:tabs>
              <w:jc w:val="right"/>
              <w:rPr>
                <w:b/>
                <w:sz w:val="18"/>
              </w:rPr>
            </w:pPr>
            <w:r w:rsidRPr="00EB02DA">
              <w:rPr>
                <w:b/>
                <w:sz w:val="18"/>
              </w:rPr>
              <w:t xml:space="preserve">Total </w:t>
            </w:r>
            <w:r w:rsidR="00EB02DA" w:rsidRPr="00EB02DA">
              <w:rPr>
                <w:b/>
                <w:sz w:val="18"/>
              </w:rPr>
              <w:br/>
            </w:r>
            <w:r w:rsidRPr="00EB02DA">
              <w:rPr>
                <w:b/>
                <w:sz w:val="18"/>
              </w:rPr>
              <w:t>equity</w:t>
            </w:r>
          </w:p>
          <w:p w:rsidR="006D2D0A" w:rsidRPr="00EB02DA" w:rsidRDefault="006D2D0A" w:rsidP="00704CC0">
            <w:pPr>
              <w:pStyle w:val="Normal-Table"/>
              <w:tabs>
                <w:tab w:val="left" w:pos="567"/>
                <w:tab w:val="left" w:pos="1134"/>
                <w:tab w:val="left" w:pos="1701"/>
                <w:tab w:val="left" w:pos="2268"/>
              </w:tabs>
              <w:jc w:val="right"/>
              <w:rPr>
                <w:b/>
                <w:sz w:val="18"/>
              </w:rPr>
            </w:pPr>
            <w:r w:rsidRPr="00EB02DA">
              <w:rPr>
                <w:b/>
                <w:sz w:val="18"/>
              </w:rPr>
              <w:t>£'000</w:t>
            </w:r>
          </w:p>
        </w:tc>
      </w:tr>
      <w:tr w:rsidR="00330F4B" w:rsidRPr="00A76890" w:rsidTr="00562F9C">
        <w:trPr>
          <w:cantSplit/>
          <w:trHeight w:val="20"/>
        </w:trPr>
        <w:tc>
          <w:tcPr>
            <w:tcW w:w="1061" w:type="pct"/>
            <w:tcBorders>
              <w:top w:val="nil"/>
              <w:left w:val="nil"/>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rPr>
                <w:b/>
                <w:sz w:val="18"/>
              </w:rPr>
            </w:pPr>
            <w:r w:rsidRPr="006D2D0A">
              <w:rPr>
                <w:b/>
                <w:sz w:val="18"/>
              </w:rPr>
              <w:t xml:space="preserve">Balance as at </w:t>
            </w:r>
            <w:r w:rsidR="006D2D0A">
              <w:rPr>
                <w:b/>
                <w:sz w:val="18"/>
              </w:rPr>
              <w:br/>
            </w:r>
            <w:r w:rsidRPr="006D2D0A">
              <w:rPr>
                <w:b/>
                <w:sz w:val="18"/>
              </w:rPr>
              <w:t xml:space="preserve">1 September 2011 </w:t>
            </w:r>
          </w:p>
        </w:tc>
        <w:tc>
          <w:tcPr>
            <w:tcW w:w="656" w:type="pct"/>
            <w:tcBorders>
              <w:top w:val="nil"/>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484</w:t>
            </w:r>
          </w:p>
        </w:tc>
        <w:tc>
          <w:tcPr>
            <w:tcW w:w="657" w:type="pct"/>
            <w:tcBorders>
              <w:top w:val="nil"/>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20,752</w:t>
            </w:r>
          </w:p>
        </w:tc>
        <w:tc>
          <w:tcPr>
            <w:tcW w:w="656" w:type="pct"/>
            <w:tcBorders>
              <w:top w:val="nil"/>
              <w:left w:val="nil"/>
              <w:bottom w:val="single" w:sz="4" w:space="0" w:color="auto"/>
              <w:right w:val="nil"/>
            </w:tcBorders>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26,456</w:t>
            </w:r>
          </w:p>
        </w:tc>
        <w:tc>
          <w:tcPr>
            <w:tcW w:w="657" w:type="pct"/>
            <w:tcBorders>
              <w:top w:val="nil"/>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(14,608)</w:t>
            </w:r>
          </w:p>
        </w:tc>
        <w:tc>
          <w:tcPr>
            <w:tcW w:w="696" w:type="pct"/>
            <w:tcBorders>
              <w:top w:val="nil"/>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(7,633)</w:t>
            </w:r>
          </w:p>
        </w:tc>
        <w:tc>
          <w:tcPr>
            <w:tcW w:w="617" w:type="pct"/>
            <w:tcBorders>
              <w:top w:val="nil"/>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25,451</w:t>
            </w:r>
          </w:p>
        </w:tc>
      </w:tr>
      <w:tr w:rsidR="00330F4B" w:rsidRPr="00A76890" w:rsidTr="00562F9C">
        <w:trPr>
          <w:cantSplit/>
          <w:trHeight w:val="20"/>
        </w:trPr>
        <w:tc>
          <w:tcPr>
            <w:tcW w:w="1061" w:type="pct"/>
            <w:tcBorders>
              <w:top w:val="nil"/>
              <w:left w:val="nil"/>
              <w:right w:val="nil"/>
            </w:tcBorders>
            <w:shd w:val="clear" w:color="auto" w:fill="auto"/>
            <w:noWrap/>
            <w:vAlign w:val="bottom"/>
          </w:tcPr>
          <w:p w:rsidR="00294C0F" w:rsidRPr="006D2D0A" w:rsidRDefault="00A628D7" w:rsidP="00704CC0">
            <w:pPr>
              <w:pStyle w:val="Normal-Table"/>
              <w:tabs>
                <w:tab w:val="left" w:pos="567"/>
                <w:tab w:val="left" w:pos="1134"/>
                <w:tab w:val="left" w:pos="1701"/>
                <w:tab w:val="left" w:pos="2268"/>
              </w:tabs>
              <w:rPr>
                <w:sz w:val="18"/>
              </w:rPr>
            </w:pPr>
            <w:r w:rsidRPr="006D2D0A">
              <w:rPr>
                <w:sz w:val="18"/>
              </w:rPr>
              <w:t xml:space="preserve">Shares bought back for cancellation </w:t>
            </w:r>
          </w:p>
        </w:tc>
        <w:tc>
          <w:tcPr>
            <w:tcW w:w="656" w:type="pct"/>
            <w:tcBorders>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(7)</w:t>
            </w:r>
          </w:p>
        </w:tc>
        <w:tc>
          <w:tcPr>
            <w:tcW w:w="657" w:type="pct"/>
            <w:tcBorders>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w:t>
            </w:r>
          </w:p>
        </w:tc>
        <w:tc>
          <w:tcPr>
            <w:tcW w:w="656" w:type="pct"/>
            <w:tcBorders>
              <w:left w:val="nil"/>
              <w:bottom w:val="single" w:sz="4" w:space="0" w:color="auto"/>
              <w:right w:val="nil"/>
            </w:tcBorders>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(225)</w:t>
            </w:r>
          </w:p>
        </w:tc>
        <w:tc>
          <w:tcPr>
            <w:tcW w:w="657" w:type="pct"/>
            <w:tcBorders>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w:t>
            </w:r>
          </w:p>
        </w:tc>
        <w:tc>
          <w:tcPr>
            <w:tcW w:w="696" w:type="pct"/>
            <w:tcBorders>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w:t>
            </w:r>
          </w:p>
        </w:tc>
        <w:tc>
          <w:tcPr>
            <w:tcW w:w="617" w:type="pct"/>
            <w:tcBorders>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(232)</w:t>
            </w:r>
          </w:p>
        </w:tc>
      </w:tr>
      <w:tr w:rsidR="00330F4B" w:rsidRPr="00A76890" w:rsidTr="00562F9C">
        <w:trPr>
          <w:cantSplit/>
          <w:trHeight w:val="20"/>
        </w:trPr>
        <w:tc>
          <w:tcPr>
            <w:tcW w:w="1061" w:type="pct"/>
            <w:tcBorders>
              <w:left w:val="nil"/>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rPr>
                <w:i/>
                <w:sz w:val="18"/>
              </w:rPr>
            </w:pPr>
            <w:r w:rsidRPr="006D2D0A">
              <w:rPr>
                <w:i/>
                <w:sz w:val="18"/>
              </w:rPr>
              <w:t xml:space="preserve">Transactions with owners                       </w:t>
            </w:r>
          </w:p>
        </w:tc>
        <w:tc>
          <w:tcPr>
            <w:tcW w:w="656" w:type="pct"/>
            <w:tcBorders>
              <w:top w:val="single" w:sz="4" w:space="0" w:color="auto"/>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(7)</w:t>
            </w:r>
          </w:p>
        </w:tc>
        <w:tc>
          <w:tcPr>
            <w:tcW w:w="657" w:type="pct"/>
            <w:tcBorders>
              <w:top w:val="single" w:sz="4" w:space="0" w:color="auto"/>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w:t>
            </w:r>
          </w:p>
        </w:tc>
        <w:tc>
          <w:tcPr>
            <w:tcW w:w="656" w:type="pct"/>
            <w:tcBorders>
              <w:top w:val="single" w:sz="4" w:space="0" w:color="auto"/>
              <w:left w:val="nil"/>
              <w:bottom w:val="single" w:sz="4" w:space="0" w:color="auto"/>
              <w:right w:val="nil"/>
            </w:tcBorders>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(225)</w:t>
            </w:r>
          </w:p>
        </w:tc>
        <w:tc>
          <w:tcPr>
            <w:tcW w:w="657" w:type="pct"/>
            <w:tcBorders>
              <w:top w:val="single" w:sz="4" w:space="0" w:color="auto"/>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w:t>
            </w:r>
          </w:p>
        </w:tc>
        <w:tc>
          <w:tcPr>
            <w:tcW w:w="696" w:type="pct"/>
            <w:tcBorders>
              <w:top w:val="single" w:sz="4" w:space="0" w:color="auto"/>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w:t>
            </w:r>
          </w:p>
        </w:tc>
        <w:tc>
          <w:tcPr>
            <w:tcW w:w="617" w:type="pct"/>
            <w:tcBorders>
              <w:top w:val="single" w:sz="4" w:space="0" w:color="auto"/>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(232)</w:t>
            </w:r>
          </w:p>
        </w:tc>
      </w:tr>
      <w:tr w:rsidR="00330F4B" w:rsidRPr="00A76890" w:rsidTr="00562F9C">
        <w:trPr>
          <w:cantSplit/>
          <w:trHeight w:val="20"/>
        </w:trPr>
        <w:tc>
          <w:tcPr>
            <w:tcW w:w="1061" w:type="pct"/>
            <w:tcBorders>
              <w:top w:val="nil"/>
              <w:left w:val="nil"/>
              <w:right w:val="nil"/>
            </w:tcBorders>
            <w:shd w:val="clear" w:color="auto" w:fill="auto"/>
            <w:noWrap/>
          </w:tcPr>
          <w:p w:rsidR="00294C0F" w:rsidRPr="006D2D0A" w:rsidRDefault="00294C0F" w:rsidP="00704CC0">
            <w:pPr>
              <w:pStyle w:val="Normal-Table"/>
              <w:tabs>
                <w:tab w:val="left" w:pos="567"/>
                <w:tab w:val="left" w:pos="1134"/>
                <w:tab w:val="left" w:pos="1701"/>
                <w:tab w:val="left" w:pos="2268"/>
              </w:tabs>
              <w:rPr>
                <w:sz w:val="18"/>
              </w:rPr>
            </w:pPr>
            <w:r w:rsidRPr="006D2D0A">
              <w:rPr>
                <w:sz w:val="18"/>
              </w:rPr>
              <w:t xml:space="preserve">Net </w:t>
            </w:r>
            <w:r w:rsidR="00E06D79" w:rsidRPr="006D2D0A">
              <w:rPr>
                <w:sz w:val="18"/>
              </w:rPr>
              <w:t>unrealised loss</w:t>
            </w:r>
            <w:r w:rsidRPr="006D2D0A">
              <w:rPr>
                <w:sz w:val="18"/>
              </w:rPr>
              <w:t xml:space="preserve"> reserve transfer</w:t>
            </w:r>
          </w:p>
        </w:tc>
        <w:tc>
          <w:tcPr>
            <w:tcW w:w="656" w:type="pct"/>
            <w:tcBorders>
              <w:top w:val="single" w:sz="4" w:space="0" w:color="auto"/>
              <w:left w:val="nil"/>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 xml:space="preserve">    -</w:t>
            </w:r>
          </w:p>
        </w:tc>
        <w:tc>
          <w:tcPr>
            <w:tcW w:w="657" w:type="pct"/>
            <w:tcBorders>
              <w:top w:val="single" w:sz="4" w:space="0" w:color="auto"/>
              <w:left w:val="nil"/>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 xml:space="preserve">    -</w:t>
            </w:r>
          </w:p>
        </w:tc>
        <w:tc>
          <w:tcPr>
            <w:tcW w:w="656" w:type="pct"/>
            <w:tcBorders>
              <w:top w:val="single" w:sz="4" w:space="0" w:color="auto"/>
              <w:left w:val="nil"/>
              <w:right w:val="nil"/>
            </w:tcBorders>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w:t>
            </w:r>
          </w:p>
        </w:tc>
        <w:tc>
          <w:tcPr>
            <w:tcW w:w="657" w:type="pct"/>
            <w:tcBorders>
              <w:top w:val="single" w:sz="4" w:space="0" w:color="auto"/>
              <w:left w:val="nil"/>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(3,038)</w:t>
            </w:r>
          </w:p>
        </w:tc>
        <w:tc>
          <w:tcPr>
            <w:tcW w:w="696" w:type="pct"/>
            <w:tcBorders>
              <w:top w:val="single" w:sz="4" w:space="0" w:color="auto"/>
              <w:left w:val="nil"/>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3,038</w:t>
            </w:r>
          </w:p>
        </w:tc>
        <w:tc>
          <w:tcPr>
            <w:tcW w:w="617" w:type="pct"/>
            <w:tcBorders>
              <w:top w:val="single" w:sz="4" w:space="0" w:color="auto"/>
              <w:left w:val="nil"/>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w:t>
            </w:r>
          </w:p>
        </w:tc>
      </w:tr>
      <w:tr w:rsidR="00330F4B" w:rsidRPr="00A76890" w:rsidTr="00562F9C">
        <w:trPr>
          <w:cantSplit/>
          <w:trHeight w:val="20"/>
        </w:trPr>
        <w:tc>
          <w:tcPr>
            <w:tcW w:w="1061" w:type="pct"/>
            <w:tcBorders>
              <w:top w:val="nil"/>
              <w:left w:val="nil"/>
              <w:right w:val="nil"/>
            </w:tcBorders>
            <w:shd w:val="clear" w:color="auto" w:fill="auto"/>
            <w:noWrap/>
          </w:tcPr>
          <w:p w:rsidR="00294C0F" w:rsidRPr="006D2D0A" w:rsidRDefault="00294C0F" w:rsidP="00704CC0">
            <w:pPr>
              <w:pStyle w:val="Normal-Table"/>
              <w:tabs>
                <w:tab w:val="left" w:pos="567"/>
                <w:tab w:val="left" w:pos="1134"/>
                <w:tab w:val="left" w:pos="1701"/>
                <w:tab w:val="left" w:pos="2268"/>
              </w:tabs>
              <w:rPr>
                <w:sz w:val="18"/>
              </w:rPr>
            </w:pPr>
            <w:r w:rsidRPr="006D2D0A">
              <w:rPr>
                <w:sz w:val="18"/>
              </w:rPr>
              <w:t>Transfer of accumulated realised loss on investments sold</w:t>
            </w:r>
          </w:p>
        </w:tc>
        <w:tc>
          <w:tcPr>
            <w:tcW w:w="656" w:type="pct"/>
            <w:tcBorders>
              <w:left w:val="nil"/>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w:t>
            </w:r>
          </w:p>
        </w:tc>
        <w:tc>
          <w:tcPr>
            <w:tcW w:w="657" w:type="pct"/>
            <w:tcBorders>
              <w:left w:val="nil"/>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w:t>
            </w:r>
          </w:p>
        </w:tc>
        <w:tc>
          <w:tcPr>
            <w:tcW w:w="656" w:type="pct"/>
            <w:tcBorders>
              <w:left w:val="nil"/>
              <w:right w:val="nil"/>
            </w:tcBorders>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w:t>
            </w:r>
          </w:p>
          <w:p w:rsidR="00294C0F" w:rsidRPr="006D2D0A" w:rsidRDefault="00294C0F" w:rsidP="00704CC0">
            <w:pPr>
              <w:pStyle w:val="Normal-Table"/>
              <w:tabs>
                <w:tab w:val="left" w:pos="567"/>
                <w:tab w:val="left" w:pos="1134"/>
                <w:tab w:val="left" w:pos="1701"/>
                <w:tab w:val="left" w:pos="2268"/>
              </w:tabs>
              <w:jc w:val="right"/>
              <w:rPr>
                <w:sz w:val="18"/>
              </w:rPr>
            </w:pPr>
          </w:p>
        </w:tc>
        <w:tc>
          <w:tcPr>
            <w:tcW w:w="657" w:type="pct"/>
            <w:tcBorders>
              <w:left w:val="nil"/>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1,088</w:t>
            </w:r>
          </w:p>
        </w:tc>
        <w:tc>
          <w:tcPr>
            <w:tcW w:w="696" w:type="pct"/>
            <w:tcBorders>
              <w:left w:val="nil"/>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(1,088)</w:t>
            </w:r>
          </w:p>
        </w:tc>
        <w:tc>
          <w:tcPr>
            <w:tcW w:w="617" w:type="pct"/>
            <w:tcBorders>
              <w:left w:val="nil"/>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w:t>
            </w:r>
          </w:p>
        </w:tc>
      </w:tr>
      <w:tr w:rsidR="00330F4B" w:rsidRPr="00A76890" w:rsidTr="00562F9C">
        <w:trPr>
          <w:cantSplit/>
          <w:trHeight w:val="20"/>
        </w:trPr>
        <w:tc>
          <w:tcPr>
            <w:tcW w:w="1061" w:type="pct"/>
            <w:tcBorders>
              <w:top w:val="nil"/>
              <w:left w:val="nil"/>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rPr>
                <w:sz w:val="18"/>
              </w:rPr>
            </w:pPr>
            <w:r w:rsidRPr="006D2D0A">
              <w:rPr>
                <w:sz w:val="18"/>
              </w:rPr>
              <w:t>(Loss) for the year</w:t>
            </w:r>
          </w:p>
        </w:tc>
        <w:tc>
          <w:tcPr>
            <w:tcW w:w="656" w:type="pct"/>
            <w:tcBorders>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 xml:space="preserve">    -   </w:t>
            </w:r>
          </w:p>
        </w:tc>
        <w:tc>
          <w:tcPr>
            <w:tcW w:w="657" w:type="pct"/>
            <w:tcBorders>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 xml:space="preserve"> -   </w:t>
            </w:r>
          </w:p>
        </w:tc>
        <w:tc>
          <w:tcPr>
            <w:tcW w:w="656" w:type="pct"/>
            <w:tcBorders>
              <w:left w:val="nil"/>
              <w:bottom w:val="single" w:sz="4" w:space="0" w:color="auto"/>
              <w:right w:val="nil"/>
            </w:tcBorders>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w:t>
            </w:r>
          </w:p>
        </w:tc>
        <w:tc>
          <w:tcPr>
            <w:tcW w:w="657" w:type="pct"/>
            <w:tcBorders>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w:t>
            </w:r>
          </w:p>
        </w:tc>
        <w:tc>
          <w:tcPr>
            <w:tcW w:w="696" w:type="pct"/>
            <w:tcBorders>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(4,234)</w:t>
            </w:r>
          </w:p>
        </w:tc>
        <w:tc>
          <w:tcPr>
            <w:tcW w:w="617" w:type="pct"/>
            <w:tcBorders>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(4,234)</w:t>
            </w:r>
          </w:p>
        </w:tc>
      </w:tr>
      <w:tr w:rsidR="00330F4B" w:rsidRPr="00A76890" w:rsidTr="00562F9C">
        <w:trPr>
          <w:cantSplit/>
          <w:trHeight w:val="20"/>
        </w:trPr>
        <w:tc>
          <w:tcPr>
            <w:tcW w:w="1061" w:type="pct"/>
            <w:tcBorders>
              <w:left w:val="nil"/>
              <w:right w:val="nil"/>
            </w:tcBorders>
            <w:shd w:val="clear" w:color="auto" w:fill="auto"/>
            <w:noWrap/>
          </w:tcPr>
          <w:p w:rsidR="00294C0F" w:rsidRPr="006D2D0A" w:rsidRDefault="00294C0F" w:rsidP="00704CC0">
            <w:pPr>
              <w:pStyle w:val="Normal-Table"/>
              <w:tabs>
                <w:tab w:val="left" w:pos="567"/>
                <w:tab w:val="left" w:pos="1134"/>
                <w:tab w:val="left" w:pos="1701"/>
                <w:tab w:val="left" w:pos="2268"/>
              </w:tabs>
              <w:rPr>
                <w:i/>
                <w:sz w:val="18"/>
              </w:rPr>
            </w:pPr>
            <w:r w:rsidRPr="006D2D0A">
              <w:rPr>
                <w:i/>
                <w:sz w:val="18"/>
              </w:rPr>
              <w:t xml:space="preserve">Total comprehensive (loss) for the year                                         </w:t>
            </w:r>
          </w:p>
        </w:tc>
        <w:tc>
          <w:tcPr>
            <w:tcW w:w="656" w:type="pct"/>
            <w:tcBorders>
              <w:top w:val="single" w:sz="4" w:space="0" w:color="auto"/>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w:t>
            </w:r>
          </w:p>
        </w:tc>
        <w:tc>
          <w:tcPr>
            <w:tcW w:w="657" w:type="pct"/>
            <w:tcBorders>
              <w:top w:val="single" w:sz="4" w:space="0" w:color="auto"/>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w:t>
            </w:r>
          </w:p>
        </w:tc>
        <w:tc>
          <w:tcPr>
            <w:tcW w:w="656" w:type="pct"/>
            <w:tcBorders>
              <w:top w:val="single" w:sz="4" w:space="0" w:color="auto"/>
              <w:left w:val="nil"/>
              <w:bottom w:val="single" w:sz="4" w:space="0" w:color="auto"/>
              <w:right w:val="nil"/>
            </w:tcBorders>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w:t>
            </w:r>
          </w:p>
        </w:tc>
        <w:tc>
          <w:tcPr>
            <w:tcW w:w="657" w:type="pct"/>
            <w:tcBorders>
              <w:top w:val="single" w:sz="4" w:space="0" w:color="auto"/>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(1,950)</w:t>
            </w:r>
          </w:p>
        </w:tc>
        <w:tc>
          <w:tcPr>
            <w:tcW w:w="696" w:type="pct"/>
            <w:tcBorders>
              <w:top w:val="single" w:sz="4" w:space="0" w:color="auto"/>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(2,284)</w:t>
            </w:r>
          </w:p>
        </w:tc>
        <w:tc>
          <w:tcPr>
            <w:tcW w:w="617" w:type="pct"/>
            <w:tcBorders>
              <w:top w:val="single" w:sz="4" w:space="0" w:color="auto"/>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(4,234)</w:t>
            </w:r>
          </w:p>
        </w:tc>
      </w:tr>
      <w:tr w:rsidR="00330F4B" w:rsidRPr="00A76890" w:rsidTr="00562F9C">
        <w:trPr>
          <w:cantSplit/>
          <w:trHeight w:val="20"/>
        </w:trPr>
        <w:tc>
          <w:tcPr>
            <w:tcW w:w="1061" w:type="pct"/>
            <w:tcBorders>
              <w:left w:val="nil"/>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rPr>
                <w:b/>
                <w:sz w:val="18"/>
              </w:rPr>
            </w:pPr>
            <w:r w:rsidRPr="006D2D0A">
              <w:rPr>
                <w:b/>
                <w:sz w:val="18"/>
              </w:rPr>
              <w:t xml:space="preserve">Balance as at </w:t>
            </w:r>
            <w:r w:rsidR="006D2D0A">
              <w:rPr>
                <w:b/>
                <w:sz w:val="18"/>
              </w:rPr>
              <w:br/>
            </w:r>
            <w:r w:rsidRPr="006D2D0A">
              <w:rPr>
                <w:b/>
                <w:sz w:val="18"/>
              </w:rPr>
              <w:t>31 August 2012</w:t>
            </w:r>
          </w:p>
        </w:tc>
        <w:tc>
          <w:tcPr>
            <w:tcW w:w="656" w:type="pct"/>
            <w:tcBorders>
              <w:top w:val="single" w:sz="4" w:space="0" w:color="auto"/>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477</w:t>
            </w:r>
          </w:p>
        </w:tc>
        <w:tc>
          <w:tcPr>
            <w:tcW w:w="657" w:type="pct"/>
            <w:tcBorders>
              <w:top w:val="single" w:sz="4" w:space="0" w:color="auto"/>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20,752</w:t>
            </w:r>
          </w:p>
        </w:tc>
        <w:tc>
          <w:tcPr>
            <w:tcW w:w="656" w:type="pct"/>
            <w:tcBorders>
              <w:top w:val="single" w:sz="4" w:space="0" w:color="auto"/>
              <w:left w:val="nil"/>
              <w:bottom w:val="single" w:sz="4" w:space="0" w:color="auto"/>
              <w:right w:val="nil"/>
            </w:tcBorders>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26,231</w:t>
            </w:r>
          </w:p>
        </w:tc>
        <w:tc>
          <w:tcPr>
            <w:tcW w:w="657" w:type="pct"/>
            <w:tcBorders>
              <w:top w:val="single" w:sz="4" w:space="0" w:color="auto"/>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(16,558)</w:t>
            </w:r>
          </w:p>
        </w:tc>
        <w:tc>
          <w:tcPr>
            <w:tcW w:w="696" w:type="pct"/>
            <w:tcBorders>
              <w:top w:val="single" w:sz="4" w:space="0" w:color="auto"/>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rPr>
            </w:pPr>
            <w:r w:rsidRPr="006D2D0A">
              <w:rPr>
                <w:sz w:val="18"/>
              </w:rPr>
              <w:t>(9,917)</w:t>
            </w:r>
          </w:p>
        </w:tc>
        <w:tc>
          <w:tcPr>
            <w:tcW w:w="617" w:type="pct"/>
            <w:tcBorders>
              <w:top w:val="single" w:sz="4" w:space="0" w:color="auto"/>
              <w:left w:val="nil"/>
              <w:bottom w:val="single" w:sz="4" w:space="0" w:color="auto"/>
              <w:right w:val="nil"/>
            </w:tcBorders>
            <w:shd w:val="clear" w:color="auto" w:fill="auto"/>
            <w:noWrap/>
            <w:vAlign w:val="bottom"/>
          </w:tcPr>
          <w:p w:rsidR="00294C0F" w:rsidRPr="006D2D0A" w:rsidRDefault="00294C0F" w:rsidP="00704CC0">
            <w:pPr>
              <w:pStyle w:val="Normal-Table"/>
              <w:tabs>
                <w:tab w:val="left" w:pos="567"/>
                <w:tab w:val="left" w:pos="1134"/>
                <w:tab w:val="left" w:pos="1701"/>
                <w:tab w:val="left" w:pos="2268"/>
              </w:tabs>
              <w:jc w:val="right"/>
              <w:rPr>
                <w:sz w:val="18"/>
                <w:highlight w:val="yellow"/>
              </w:rPr>
            </w:pPr>
            <w:r w:rsidRPr="006D2D0A">
              <w:rPr>
                <w:sz w:val="18"/>
              </w:rPr>
              <w:t>20,985</w:t>
            </w:r>
          </w:p>
        </w:tc>
      </w:tr>
      <w:tr w:rsidR="00330F4B" w:rsidRPr="00A76890" w:rsidTr="00562F9C">
        <w:trPr>
          <w:cantSplit/>
          <w:trHeight w:val="20"/>
        </w:trPr>
        <w:tc>
          <w:tcPr>
            <w:tcW w:w="1061" w:type="pct"/>
            <w:tcBorders>
              <w:left w:val="nil"/>
              <w:right w:val="nil"/>
            </w:tcBorders>
            <w:shd w:val="clear" w:color="auto" w:fill="auto"/>
            <w:noWrap/>
            <w:vAlign w:val="bottom"/>
          </w:tcPr>
          <w:p w:rsidR="002822FD" w:rsidRPr="006D2D0A" w:rsidRDefault="002822FD" w:rsidP="00704CC0">
            <w:pPr>
              <w:pStyle w:val="Normal-Table"/>
              <w:tabs>
                <w:tab w:val="left" w:pos="567"/>
                <w:tab w:val="left" w:pos="1134"/>
                <w:tab w:val="left" w:pos="1701"/>
                <w:tab w:val="left" w:pos="2268"/>
              </w:tabs>
              <w:rPr>
                <w:b/>
                <w:sz w:val="18"/>
              </w:rPr>
            </w:pPr>
          </w:p>
        </w:tc>
        <w:tc>
          <w:tcPr>
            <w:tcW w:w="656" w:type="pct"/>
            <w:tcBorders>
              <w:top w:val="single" w:sz="4" w:space="0" w:color="auto"/>
              <w:left w:val="nil"/>
              <w:bottom w:val="single" w:sz="4" w:space="0" w:color="auto"/>
              <w:right w:val="nil"/>
            </w:tcBorders>
            <w:shd w:val="clear" w:color="auto" w:fill="auto"/>
            <w:noWrap/>
            <w:vAlign w:val="bottom"/>
          </w:tcPr>
          <w:p w:rsidR="002822FD" w:rsidRPr="006D2D0A" w:rsidRDefault="002822FD" w:rsidP="00704CC0">
            <w:pPr>
              <w:pStyle w:val="Normal-Table"/>
              <w:tabs>
                <w:tab w:val="left" w:pos="567"/>
                <w:tab w:val="left" w:pos="1134"/>
                <w:tab w:val="left" w:pos="1701"/>
                <w:tab w:val="left" w:pos="2268"/>
              </w:tabs>
              <w:jc w:val="right"/>
              <w:rPr>
                <w:b/>
                <w:sz w:val="18"/>
              </w:rPr>
            </w:pPr>
          </w:p>
        </w:tc>
        <w:tc>
          <w:tcPr>
            <w:tcW w:w="657" w:type="pct"/>
            <w:tcBorders>
              <w:top w:val="single" w:sz="4" w:space="0" w:color="auto"/>
              <w:left w:val="nil"/>
              <w:bottom w:val="single" w:sz="4" w:space="0" w:color="auto"/>
              <w:right w:val="nil"/>
            </w:tcBorders>
            <w:shd w:val="clear" w:color="auto" w:fill="auto"/>
            <w:noWrap/>
            <w:vAlign w:val="bottom"/>
          </w:tcPr>
          <w:p w:rsidR="002822FD" w:rsidRPr="006D2D0A" w:rsidRDefault="002822FD" w:rsidP="00704CC0">
            <w:pPr>
              <w:pStyle w:val="Normal-Table"/>
              <w:tabs>
                <w:tab w:val="left" w:pos="567"/>
                <w:tab w:val="left" w:pos="1134"/>
                <w:tab w:val="left" w:pos="1701"/>
                <w:tab w:val="left" w:pos="2268"/>
              </w:tabs>
              <w:jc w:val="right"/>
              <w:rPr>
                <w:sz w:val="18"/>
              </w:rPr>
            </w:pPr>
          </w:p>
        </w:tc>
        <w:tc>
          <w:tcPr>
            <w:tcW w:w="656" w:type="pct"/>
            <w:tcBorders>
              <w:top w:val="single" w:sz="4" w:space="0" w:color="auto"/>
              <w:left w:val="nil"/>
              <w:bottom w:val="single" w:sz="4" w:space="0" w:color="auto"/>
              <w:right w:val="nil"/>
            </w:tcBorders>
            <w:vAlign w:val="bottom"/>
          </w:tcPr>
          <w:p w:rsidR="002822FD" w:rsidRPr="006D2D0A" w:rsidRDefault="002822FD" w:rsidP="00704CC0">
            <w:pPr>
              <w:pStyle w:val="Normal-Table"/>
              <w:tabs>
                <w:tab w:val="left" w:pos="567"/>
                <w:tab w:val="left" w:pos="1134"/>
                <w:tab w:val="left" w:pos="1701"/>
                <w:tab w:val="left" w:pos="2268"/>
              </w:tabs>
              <w:jc w:val="right"/>
              <w:rPr>
                <w:sz w:val="18"/>
              </w:rPr>
            </w:pPr>
          </w:p>
        </w:tc>
        <w:tc>
          <w:tcPr>
            <w:tcW w:w="657" w:type="pct"/>
            <w:tcBorders>
              <w:top w:val="single" w:sz="4" w:space="0" w:color="auto"/>
              <w:left w:val="nil"/>
              <w:bottom w:val="single" w:sz="4" w:space="0" w:color="auto"/>
              <w:right w:val="nil"/>
            </w:tcBorders>
            <w:shd w:val="clear" w:color="auto" w:fill="auto"/>
            <w:noWrap/>
            <w:vAlign w:val="bottom"/>
          </w:tcPr>
          <w:p w:rsidR="002822FD" w:rsidRPr="006D2D0A" w:rsidRDefault="002822FD" w:rsidP="00704CC0">
            <w:pPr>
              <w:pStyle w:val="Normal-Table"/>
              <w:tabs>
                <w:tab w:val="left" w:pos="567"/>
                <w:tab w:val="left" w:pos="1134"/>
                <w:tab w:val="left" w:pos="1701"/>
                <w:tab w:val="left" w:pos="2268"/>
              </w:tabs>
              <w:jc w:val="right"/>
              <w:rPr>
                <w:sz w:val="18"/>
              </w:rPr>
            </w:pPr>
          </w:p>
        </w:tc>
        <w:tc>
          <w:tcPr>
            <w:tcW w:w="696" w:type="pct"/>
            <w:tcBorders>
              <w:top w:val="single" w:sz="4" w:space="0" w:color="auto"/>
              <w:left w:val="nil"/>
              <w:bottom w:val="single" w:sz="4" w:space="0" w:color="auto"/>
              <w:right w:val="nil"/>
            </w:tcBorders>
            <w:shd w:val="clear" w:color="auto" w:fill="auto"/>
            <w:noWrap/>
            <w:vAlign w:val="bottom"/>
          </w:tcPr>
          <w:p w:rsidR="002822FD" w:rsidRPr="006D2D0A" w:rsidRDefault="002822FD" w:rsidP="00704CC0">
            <w:pPr>
              <w:pStyle w:val="Normal-Table"/>
              <w:tabs>
                <w:tab w:val="left" w:pos="567"/>
                <w:tab w:val="left" w:pos="1134"/>
                <w:tab w:val="left" w:pos="1701"/>
                <w:tab w:val="left" w:pos="2268"/>
              </w:tabs>
              <w:jc w:val="right"/>
              <w:rPr>
                <w:sz w:val="18"/>
              </w:rPr>
            </w:pPr>
          </w:p>
        </w:tc>
        <w:tc>
          <w:tcPr>
            <w:tcW w:w="617" w:type="pct"/>
            <w:tcBorders>
              <w:top w:val="single" w:sz="4" w:space="0" w:color="auto"/>
              <w:left w:val="nil"/>
              <w:bottom w:val="single" w:sz="4" w:space="0" w:color="auto"/>
              <w:right w:val="nil"/>
            </w:tcBorders>
            <w:shd w:val="clear" w:color="auto" w:fill="auto"/>
            <w:noWrap/>
            <w:vAlign w:val="bottom"/>
          </w:tcPr>
          <w:p w:rsidR="002822FD" w:rsidRPr="006D2D0A" w:rsidRDefault="002822FD" w:rsidP="00704CC0">
            <w:pPr>
              <w:pStyle w:val="Normal-Table"/>
              <w:tabs>
                <w:tab w:val="left" w:pos="567"/>
                <w:tab w:val="left" w:pos="1134"/>
                <w:tab w:val="left" w:pos="1701"/>
                <w:tab w:val="left" w:pos="2268"/>
              </w:tabs>
              <w:jc w:val="right"/>
              <w:rPr>
                <w:sz w:val="18"/>
              </w:rPr>
            </w:pPr>
          </w:p>
        </w:tc>
      </w:tr>
      <w:tr w:rsidR="00330F4B" w:rsidRPr="00A76890" w:rsidTr="00562F9C">
        <w:trPr>
          <w:cantSplit/>
          <w:trHeight w:val="20"/>
        </w:trPr>
        <w:tc>
          <w:tcPr>
            <w:tcW w:w="1061" w:type="pct"/>
            <w:tcBorders>
              <w:left w:val="nil"/>
              <w:right w:val="nil"/>
            </w:tcBorders>
            <w:shd w:val="clear" w:color="auto" w:fill="auto"/>
            <w:noWrap/>
            <w:vAlign w:val="bottom"/>
          </w:tcPr>
          <w:p w:rsidR="002822FD" w:rsidRPr="006D2D0A" w:rsidRDefault="002822FD" w:rsidP="00704CC0">
            <w:pPr>
              <w:pStyle w:val="Normal-Table"/>
              <w:tabs>
                <w:tab w:val="left" w:pos="567"/>
                <w:tab w:val="left" w:pos="1134"/>
                <w:tab w:val="left" w:pos="1701"/>
                <w:tab w:val="left" w:pos="2268"/>
              </w:tabs>
              <w:rPr>
                <w:sz w:val="18"/>
              </w:rPr>
            </w:pPr>
            <w:r w:rsidRPr="006D2D0A">
              <w:rPr>
                <w:b/>
                <w:sz w:val="18"/>
              </w:rPr>
              <w:t xml:space="preserve">Balance as at </w:t>
            </w:r>
            <w:r w:rsidR="006D2D0A">
              <w:rPr>
                <w:b/>
                <w:sz w:val="18"/>
              </w:rPr>
              <w:br/>
            </w:r>
            <w:r w:rsidRPr="006D2D0A">
              <w:rPr>
                <w:b/>
                <w:sz w:val="18"/>
              </w:rPr>
              <w:t>1 September 2012</w:t>
            </w:r>
          </w:p>
        </w:tc>
        <w:tc>
          <w:tcPr>
            <w:tcW w:w="656" w:type="pct"/>
            <w:tcBorders>
              <w:top w:val="single" w:sz="4" w:space="0" w:color="auto"/>
              <w:left w:val="nil"/>
              <w:bottom w:val="single" w:sz="4" w:space="0" w:color="auto"/>
              <w:right w:val="nil"/>
            </w:tcBorders>
            <w:shd w:val="clear" w:color="auto" w:fill="auto"/>
            <w:noWrap/>
            <w:vAlign w:val="bottom"/>
          </w:tcPr>
          <w:p w:rsidR="002822FD" w:rsidRPr="006D2D0A" w:rsidRDefault="002822FD" w:rsidP="00704CC0">
            <w:pPr>
              <w:pStyle w:val="Normal-Table"/>
              <w:tabs>
                <w:tab w:val="left" w:pos="567"/>
                <w:tab w:val="left" w:pos="1134"/>
                <w:tab w:val="left" w:pos="1701"/>
                <w:tab w:val="left" w:pos="2268"/>
              </w:tabs>
              <w:jc w:val="right"/>
              <w:rPr>
                <w:b/>
                <w:sz w:val="18"/>
              </w:rPr>
            </w:pPr>
            <w:r w:rsidRPr="006D2D0A">
              <w:rPr>
                <w:b/>
                <w:sz w:val="18"/>
              </w:rPr>
              <w:t>477</w:t>
            </w:r>
          </w:p>
        </w:tc>
        <w:tc>
          <w:tcPr>
            <w:tcW w:w="657" w:type="pct"/>
            <w:tcBorders>
              <w:top w:val="single" w:sz="4" w:space="0" w:color="auto"/>
              <w:left w:val="nil"/>
              <w:bottom w:val="single" w:sz="4" w:space="0" w:color="auto"/>
              <w:right w:val="nil"/>
            </w:tcBorders>
            <w:shd w:val="clear" w:color="auto" w:fill="auto"/>
            <w:noWrap/>
            <w:vAlign w:val="bottom"/>
          </w:tcPr>
          <w:p w:rsidR="002822FD" w:rsidRPr="006D2D0A" w:rsidRDefault="002822FD" w:rsidP="00704CC0">
            <w:pPr>
              <w:pStyle w:val="Normal-Table"/>
              <w:tabs>
                <w:tab w:val="left" w:pos="567"/>
                <w:tab w:val="left" w:pos="1134"/>
                <w:tab w:val="left" w:pos="1701"/>
                <w:tab w:val="left" w:pos="2268"/>
              </w:tabs>
              <w:jc w:val="right"/>
              <w:rPr>
                <w:b/>
                <w:sz w:val="18"/>
              </w:rPr>
            </w:pPr>
            <w:r w:rsidRPr="006D2D0A">
              <w:rPr>
                <w:b/>
                <w:sz w:val="18"/>
              </w:rPr>
              <w:t>20,752</w:t>
            </w:r>
          </w:p>
        </w:tc>
        <w:tc>
          <w:tcPr>
            <w:tcW w:w="656" w:type="pct"/>
            <w:tcBorders>
              <w:top w:val="single" w:sz="4" w:space="0" w:color="auto"/>
              <w:left w:val="nil"/>
              <w:bottom w:val="single" w:sz="4" w:space="0" w:color="auto"/>
              <w:right w:val="nil"/>
            </w:tcBorders>
            <w:vAlign w:val="bottom"/>
          </w:tcPr>
          <w:p w:rsidR="002822FD" w:rsidRPr="006D2D0A" w:rsidRDefault="002822FD" w:rsidP="00704CC0">
            <w:pPr>
              <w:pStyle w:val="Normal-Table"/>
              <w:tabs>
                <w:tab w:val="left" w:pos="567"/>
                <w:tab w:val="left" w:pos="1134"/>
                <w:tab w:val="left" w:pos="1701"/>
                <w:tab w:val="left" w:pos="2268"/>
              </w:tabs>
              <w:jc w:val="right"/>
              <w:rPr>
                <w:b/>
                <w:sz w:val="18"/>
              </w:rPr>
            </w:pPr>
            <w:r w:rsidRPr="006D2D0A">
              <w:rPr>
                <w:b/>
                <w:sz w:val="18"/>
              </w:rPr>
              <w:t>26,231</w:t>
            </w:r>
          </w:p>
        </w:tc>
        <w:tc>
          <w:tcPr>
            <w:tcW w:w="657" w:type="pct"/>
            <w:tcBorders>
              <w:top w:val="single" w:sz="4" w:space="0" w:color="auto"/>
              <w:left w:val="nil"/>
              <w:bottom w:val="single" w:sz="4" w:space="0" w:color="auto"/>
              <w:right w:val="nil"/>
            </w:tcBorders>
            <w:shd w:val="clear" w:color="auto" w:fill="auto"/>
            <w:noWrap/>
            <w:vAlign w:val="bottom"/>
          </w:tcPr>
          <w:p w:rsidR="002822FD" w:rsidRPr="006D2D0A" w:rsidRDefault="002822FD" w:rsidP="00704CC0">
            <w:pPr>
              <w:pStyle w:val="Normal-Table"/>
              <w:tabs>
                <w:tab w:val="left" w:pos="567"/>
                <w:tab w:val="left" w:pos="1134"/>
                <w:tab w:val="left" w:pos="1701"/>
                <w:tab w:val="left" w:pos="2268"/>
              </w:tabs>
              <w:jc w:val="right"/>
              <w:rPr>
                <w:b/>
                <w:sz w:val="18"/>
              </w:rPr>
            </w:pPr>
            <w:r w:rsidRPr="006D2D0A">
              <w:rPr>
                <w:b/>
                <w:sz w:val="18"/>
              </w:rPr>
              <w:t>(16,558)</w:t>
            </w:r>
          </w:p>
        </w:tc>
        <w:tc>
          <w:tcPr>
            <w:tcW w:w="696" w:type="pct"/>
            <w:tcBorders>
              <w:top w:val="single" w:sz="4" w:space="0" w:color="auto"/>
              <w:left w:val="nil"/>
              <w:bottom w:val="single" w:sz="4" w:space="0" w:color="auto"/>
              <w:right w:val="nil"/>
            </w:tcBorders>
            <w:shd w:val="clear" w:color="auto" w:fill="auto"/>
            <w:noWrap/>
            <w:vAlign w:val="bottom"/>
          </w:tcPr>
          <w:p w:rsidR="002822FD" w:rsidRPr="006D2D0A" w:rsidRDefault="002822FD" w:rsidP="00704CC0">
            <w:pPr>
              <w:pStyle w:val="Normal-Table"/>
              <w:tabs>
                <w:tab w:val="left" w:pos="567"/>
                <w:tab w:val="left" w:pos="1134"/>
                <w:tab w:val="left" w:pos="1701"/>
                <w:tab w:val="left" w:pos="2268"/>
              </w:tabs>
              <w:jc w:val="right"/>
              <w:rPr>
                <w:b/>
                <w:sz w:val="18"/>
              </w:rPr>
            </w:pPr>
            <w:r w:rsidRPr="006D2D0A">
              <w:rPr>
                <w:b/>
                <w:sz w:val="18"/>
              </w:rPr>
              <w:t>(9,917)</w:t>
            </w:r>
          </w:p>
        </w:tc>
        <w:tc>
          <w:tcPr>
            <w:tcW w:w="617" w:type="pct"/>
            <w:tcBorders>
              <w:top w:val="single" w:sz="4" w:space="0" w:color="auto"/>
              <w:left w:val="nil"/>
              <w:bottom w:val="single" w:sz="4" w:space="0" w:color="auto"/>
              <w:right w:val="nil"/>
            </w:tcBorders>
            <w:shd w:val="clear" w:color="auto" w:fill="auto"/>
            <w:noWrap/>
            <w:vAlign w:val="bottom"/>
          </w:tcPr>
          <w:p w:rsidR="002822FD" w:rsidRPr="006D2D0A" w:rsidRDefault="002822FD" w:rsidP="00704CC0">
            <w:pPr>
              <w:pStyle w:val="Normal-Table"/>
              <w:tabs>
                <w:tab w:val="left" w:pos="567"/>
                <w:tab w:val="left" w:pos="1134"/>
                <w:tab w:val="left" w:pos="1701"/>
                <w:tab w:val="left" w:pos="2268"/>
              </w:tabs>
              <w:jc w:val="right"/>
              <w:rPr>
                <w:b/>
                <w:sz w:val="18"/>
                <w:highlight w:val="yellow"/>
              </w:rPr>
            </w:pPr>
            <w:r w:rsidRPr="006D2D0A">
              <w:rPr>
                <w:b/>
                <w:sz w:val="18"/>
              </w:rPr>
              <w:t>20,985</w:t>
            </w:r>
          </w:p>
        </w:tc>
      </w:tr>
      <w:tr w:rsidR="002822FD" w:rsidRPr="00A76890" w:rsidTr="00562F9C">
        <w:trPr>
          <w:cantSplit/>
          <w:trHeight w:val="20"/>
        </w:trPr>
        <w:tc>
          <w:tcPr>
            <w:tcW w:w="1061" w:type="pct"/>
            <w:tcBorders>
              <w:left w:val="nil"/>
              <w:right w:val="nil"/>
            </w:tcBorders>
            <w:shd w:val="clear" w:color="auto" w:fill="auto"/>
            <w:noWrap/>
            <w:vAlign w:val="bottom"/>
          </w:tcPr>
          <w:p w:rsidR="002822FD" w:rsidRPr="006D2D0A" w:rsidRDefault="002822FD" w:rsidP="00704CC0">
            <w:pPr>
              <w:pStyle w:val="Normal-Table"/>
              <w:tabs>
                <w:tab w:val="left" w:pos="567"/>
                <w:tab w:val="left" w:pos="1134"/>
                <w:tab w:val="left" w:pos="1701"/>
                <w:tab w:val="left" w:pos="2268"/>
              </w:tabs>
              <w:rPr>
                <w:sz w:val="18"/>
              </w:rPr>
            </w:pPr>
            <w:r w:rsidRPr="006D2D0A">
              <w:rPr>
                <w:sz w:val="18"/>
              </w:rPr>
              <w:t xml:space="preserve">Shares bought back under tender offer </w:t>
            </w:r>
          </w:p>
        </w:tc>
        <w:tc>
          <w:tcPr>
            <w:tcW w:w="656" w:type="pct"/>
            <w:tcBorders>
              <w:top w:val="single" w:sz="4" w:space="0" w:color="auto"/>
              <w:left w:val="nil"/>
              <w:bottom w:val="single" w:sz="4" w:space="0" w:color="auto"/>
              <w:right w:val="nil"/>
            </w:tcBorders>
            <w:shd w:val="clear" w:color="auto" w:fill="auto"/>
            <w:noWrap/>
            <w:vAlign w:val="bottom"/>
          </w:tcPr>
          <w:p w:rsidR="002822FD" w:rsidRPr="006D2D0A" w:rsidRDefault="002822FD" w:rsidP="00704CC0">
            <w:pPr>
              <w:pStyle w:val="Normal-Table"/>
              <w:tabs>
                <w:tab w:val="left" w:pos="567"/>
                <w:tab w:val="left" w:pos="1134"/>
                <w:tab w:val="left" w:pos="1701"/>
                <w:tab w:val="left" w:pos="2268"/>
              </w:tabs>
              <w:jc w:val="right"/>
              <w:rPr>
                <w:b/>
                <w:sz w:val="18"/>
              </w:rPr>
            </w:pPr>
            <w:r w:rsidRPr="006D2D0A">
              <w:rPr>
                <w:b/>
                <w:sz w:val="18"/>
              </w:rPr>
              <w:t>(231)</w:t>
            </w:r>
          </w:p>
        </w:tc>
        <w:tc>
          <w:tcPr>
            <w:tcW w:w="657" w:type="pct"/>
            <w:tcBorders>
              <w:top w:val="single" w:sz="4" w:space="0" w:color="auto"/>
              <w:left w:val="nil"/>
              <w:bottom w:val="single" w:sz="4" w:space="0" w:color="auto"/>
              <w:right w:val="nil"/>
            </w:tcBorders>
            <w:shd w:val="clear" w:color="auto" w:fill="auto"/>
            <w:noWrap/>
            <w:vAlign w:val="bottom"/>
          </w:tcPr>
          <w:p w:rsidR="002822FD" w:rsidRPr="006D2D0A" w:rsidRDefault="002822FD" w:rsidP="00704CC0">
            <w:pPr>
              <w:pStyle w:val="Normal-Table"/>
              <w:tabs>
                <w:tab w:val="left" w:pos="567"/>
                <w:tab w:val="left" w:pos="1134"/>
                <w:tab w:val="left" w:pos="1701"/>
                <w:tab w:val="left" w:pos="2268"/>
              </w:tabs>
              <w:jc w:val="right"/>
              <w:rPr>
                <w:b/>
                <w:sz w:val="18"/>
              </w:rPr>
            </w:pPr>
            <w:r w:rsidRPr="006D2D0A">
              <w:rPr>
                <w:b/>
                <w:sz w:val="18"/>
              </w:rPr>
              <w:t>-</w:t>
            </w:r>
          </w:p>
        </w:tc>
        <w:tc>
          <w:tcPr>
            <w:tcW w:w="656" w:type="pct"/>
            <w:tcBorders>
              <w:top w:val="single" w:sz="4" w:space="0" w:color="auto"/>
              <w:left w:val="nil"/>
              <w:bottom w:val="single" w:sz="4" w:space="0" w:color="auto"/>
              <w:right w:val="nil"/>
            </w:tcBorders>
            <w:vAlign w:val="bottom"/>
          </w:tcPr>
          <w:p w:rsidR="002822FD" w:rsidRPr="006D2D0A" w:rsidRDefault="002822FD" w:rsidP="00704CC0">
            <w:pPr>
              <w:pStyle w:val="Normal-Table"/>
              <w:tabs>
                <w:tab w:val="left" w:pos="567"/>
                <w:tab w:val="left" w:pos="1134"/>
                <w:tab w:val="left" w:pos="1701"/>
                <w:tab w:val="left" w:pos="2268"/>
              </w:tabs>
              <w:jc w:val="right"/>
              <w:rPr>
                <w:b/>
                <w:sz w:val="18"/>
              </w:rPr>
            </w:pPr>
            <w:r w:rsidRPr="006D2D0A">
              <w:rPr>
                <w:b/>
                <w:sz w:val="18"/>
              </w:rPr>
              <w:t>(8,769)</w:t>
            </w:r>
          </w:p>
        </w:tc>
        <w:tc>
          <w:tcPr>
            <w:tcW w:w="657" w:type="pct"/>
            <w:tcBorders>
              <w:top w:val="single" w:sz="4" w:space="0" w:color="auto"/>
              <w:left w:val="nil"/>
              <w:bottom w:val="single" w:sz="4" w:space="0" w:color="auto"/>
              <w:right w:val="nil"/>
            </w:tcBorders>
            <w:shd w:val="clear" w:color="auto" w:fill="auto"/>
            <w:noWrap/>
            <w:vAlign w:val="bottom"/>
          </w:tcPr>
          <w:p w:rsidR="002822FD" w:rsidRPr="006D2D0A" w:rsidRDefault="002822FD" w:rsidP="00704CC0">
            <w:pPr>
              <w:pStyle w:val="Normal-Table"/>
              <w:tabs>
                <w:tab w:val="left" w:pos="567"/>
                <w:tab w:val="left" w:pos="1134"/>
                <w:tab w:val="left" w:pos="1701"/>
                <w:tab w:val="left" w:pos="2268"/>
              </w:tabs>
              <w:jc w:val="right"/>
              <w:rPr>
                <w:b/>
                <w:sz w:val="18"/>
              </w:rPr>
            </w:pPr>
            <w:r w:rsidRPr="006D2D0A">
              <w:rPr>
                <w:b/>
                <w:sz w:val="18"/>
              </w:rPr>
              <w:t>-</w:t>
            </w:r>
          </w:p>
        </w:tc>
        <w:tc>
          <w:tcPr>
            <w:tcW w:w="696" w:type="pct"/>
            <w:tcBorders>
              <w:top w:val="single" w:sz="4" w:space="0" w:color="auto"/>
              <w:left w:val="nil"/>
              <w:bottom w:val="single" w:sz="4" w:space="0" w:color="auto"/>
              <w:right w:val="nil"/>
            </w:tcBorders>
            <w:shd w:val="clear" w:color="auto" w:fill="auto"/>
            <w:noWrap/>
            <w:vAlign w:val="bottom"/>
          </w:tcPr>
          <w:p w:rsidR="002822FD" w:rsidRPr="006D2D0A" w:rsidRDefault="002822FD" w:rsidP="00704CC0">
            <w:pPr>
              <w:pStyle w:val="Normal-Table"/>
              <w:tabs>
                <w:tab w:val="left" w:pos="567"/>
                <w:tab w:val="left" w:pos="1134"/>
                <w:tab w:val="left" w:pos="1701"/>
                <w:tab w:val="left" w:pos="2268"/>
              </w:tabs>
              <w:jc w:val="right"/>
              <w:rPr>
                <w:b/>
                <w:sz w:val="18"/>
              </w:rPr>
            </w:pPr>
            <w:r w:rsidRPr="006D2D0A">
              <w:rPr>
                <w:b/>
                <w:sz w:val="18"/>
              </w:rPr>
              <w:t>-</w:t>
            </w:r>
          </w:p>
        </w:tc>
        <w:tc>
          <w:tcPr>
            <w:tcW w:w="617" w:type="pct"/>
            <w:tcBorders>
              <w:top w:val="single" w:sz="4" w:space="0" w:color="auto"/>
              <w:left w:val="nil"/>
              <w:bottom w:val="single" w:sz="4" w:space="0" w:color="auto"/>
              <w:right w:val="nil"/>
            </w:tcBorders>
            <w:shd w:val="clear" w:color="auto" w:fill="auto"/>
            <w:noWrap/>
            <w:vAlign w:val="bottom"/>
          </w:tcPr>
          <w:p w:rsidR="002822FD" w:rsidRPr="006D2D0A" w:rsidRDefault="002822FD" w:rsidP="00704CC0">
            <w:pPr>
              <w:pStyle w:val="Normal-Table"/>
              <w:tabs>
                <w:tab w:val="left" w:pos="567"/>
                <w:tab w:val="left" w:pos="1134"/>
                <w:tab w:val="left" w:pos="1701"/>
                <w:tab w:val="left" w:pos="2268"/>
              </w:tabs>
              <w:jc w:val="right"/>
              <w:rPr>
                <w:b/>
                <w:sz w:val="18"/>
              </w:rPr>
            </w:pPr>
            <w:r w:rsidRPr="006D2D0A">
              <w:rPr>
                <w:b/>
                <w:sz w:val="18"/>
              </w:rPr>
              <w:t>(9,000)</w:t>
            </w:r>
          </w:p>
        </w:tc>
      </w:tr>
      <w:tr w:rsidR="00943427" w:rsidRPr="00A76890" w:rsidTr="00562F9C">
        <w:trPr>
          <w:cantSplit/>
          <w:trHeight w:val="20"/>
        </w:trPr>
        <w:tc>
          <w:tcPr>
            <w:tcW w:w="1061" w:type="pct"/>
            <w:tcBorders>
              <w:left w:val="nil"/>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rPr>
                <w:i/>
                <w:sz w:val="18"/>
              </w:rPr>
            </w:pPr>
            <w:r w:rsidRPr="006D2D0A">
              <w:rPr>
                <w:i/>
                <w:sz w:val="18"/>
              </w:rPr>
              <w:t xml:space="preserve">Transactions with owners                       </w:t>
            </w:r>
          </w:p>
        </w:tc>
        <w:tc>
          <w:tcPr>
            <w:tcW w:w="656" w:type="pct"/>
            <w:tcBorders>
              <w:top w:val="single" w:sz="4" w:space="0" w:color="auto"/>
              <w:left w:val="nil"/>
              <w:bottom w:val="single" w:sz="4" w:space="0" w:color="auto"/>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(231)</w:t>
            </w:r>
          </w:p>
        </w:tc>
        <w:tc>
          <w:tcPr>
            <w:tcW w:w="657" w:type="pct"/>
            <w:tcBorders>
              <w:top w:val="single" w:sz="4" w:space="0" w:color="auto"/>
              <w:left w:val="nil"/>
              <w:bottom w:val="single" w:sz="4" w:space="0" w:color="auto"/>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w:t>
            </w:r>
          </w:p>
        </w:tc>
        <w:tc>
          <w:tcPr>
            <w:tcW w:w="656" w:type="pct"/>
            <w:tcBorders>
              <w:top w:val="single" w:sz="4" w:space="0" w:color="auto"/>
              <w:left w:val="nil"/>
              <w:bottom w:val="single" w:sz="4" w:space="0" w:color="auto"/>
              <w:right w:val="nil"/>
            </w:tcBorders>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(8,769)</w:t>
            </w:r>
          </w:p>
        </w:tc>
        <w:tc>
          <w:tcPr>
            <w:tcW w:w="657" w:type="pct"/>
            <w:tcBorders>
              <w:top w:val="single" w:sz="4" w:space="0" w:color="auto"/>
              <w:left w:val="nil"/>
              <w:bottom w:val="single" w:sz="4" w:space="0" w:color="auto"/>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w:t>
            </w:r>
          </w:p>
        </w:tc>
        <w:tc>
          <w:tcPr>
            <w:tcW w:w="696" w:type="pct"/>
            <w:tcBorders>
              <w:top w:val="single" w:sz="4" w:space="0" w:color="auto"/>
              <w:left w:val="nil"/>
              <w:bottom w:val="single" w:sz="4" w:space="0" w:color="auto"/>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w:t>
            </w:r>
          </w:p>
        </w:tc>
        <w:tc>
          <w:tcPr>
            <w:tcW w:w="617" w:type="pct"/>
            <w:tcBorders>
              <w:top w:val="single" w:sz="4" w:space="0" w:color="auto"/>
              <w:left w:val="nil"/>
              <w:bottom w:val="single" w:sz="4" w:space="0" w:color="auto"/>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(9,000)</w:t>
            </w:r>
          </w:p>
        </w:tc>
      </w:tr>
      <w:tr w:rsidR="00943427" w:rsidRPr="006D2D0A" w:rsidTr="00562F9C">
        <w:trPr>
          <w:cantSplit/>
          <w:trHeight w:val="20"/>
        </w:trPr>
        <w:tc>
          <w:tcPr>
            <w:tcW w:w="1061" w:type="pct"/>
            <w:tcBorders>
              <w:left w:val="nil"/>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rPr>
                <w:sz w:val="18"/>
              </w:rPr>
            </w:pPr>
            <w:r w:rsidRPr="006D2D0A">
              <w:rPr>
                <w:sz w:val="18"/>
              </w:rPr>
              <w:t>Net unrealised loss reserve transfer</w:t>
            </w:r>
          </w:p>
        </w:tc>
        <w:tc>
          <w:tcPr>
            <w:tcW w:w="656" w:type="pct"/>
            <w:tcBorders>
              <w:top w:val="single" w:sz="4" w:space="0" w:color="auto"/>
              <w:left w:val="nil"/>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w:t>
            </w:r>
          </w:p>
        </w:tc>
        <w:tc>
          <w:tcPr>
            <w:tcW w:w="657" w:type="pct"/>
            <w:tcBorders>
              <w:top w:val="single" w:sz="4" w:space="0" w:color="auto"/>
              <w:left w:val="nil"/>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w:t>
            </w:r>
          </w:p>
        </w:tc>
        <w:tc>
          <w:tcPr>
            <w:tcW w:w="656" w:type="pct"/>
            <w:tcBorders>
              <w:top w:val="single" w:sz="4" w:space="0" w:color="auto"/>
              <w:left w:val="nil"/>
              <w:right w:val="nil"/>
            </w:tcBorders>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w:t>
            </w:r>
          </w:p>
        </w:tc>
        <w:tc>
          <w:tcPr>
            <w:tcW w:w="657" w:type="pct"/>
            <w:tcBorders>
              <w:top w:val="single" w:sz="4" w:space="0" w:color="auto"/>
              <w:left w:val="nil"/>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(2,682)</w:t>
            </w:r>
          </w:p>
        </w:tc>
        <w:tc>
          <w:tcPr>
            <w:tcW w:w="696" w:type="pct"/>
            <w:tcBorders>
              <w:top w:val="single" w:sz="4" w:space="0" w:color="auto"/>
              <w:left w:val="nil"/>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2,682</w:t>
            </w:r>
          </w:p>
        </w:tc>
        <w:tc>
          <w:tcPr>
            <w:tcW w:w="617" w:type="pct"/>
            <w:tcBorders>
              <w:top w:val="single" w:sz="4" w:space="0" w:color="auto"/>
              <w:left w:val="nil"/>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w:t>
            </w:r>
          </w:p>
        </w:tc>
      </w:tr>
      <w:tr w:rsidR="00943427" w:rsidRPr="006D2D0A" w:rsidTr="00562F9C">
        <w:trPr>
          <w:cantSplit/>
          <w:trHeight w:val="20"/>
        </w:trPr>
        <w:tc>
          <w:tcPr>
            <w:tcW w:w="1061" w:type="pct"/>
            <w:tcBorders>
              <w:left w:val="nil"/>
              <w:right w:val="nil"/>
            </w:tcBorders>
            <w:shd w:val="clear" w:color="auto" w:fill="auto"/>
            <w:noWrap/>
          </w:tcPr>
          <w:p w:rsidR="00943427" w:rsidRPr="006D2D0A" w:rsidRDefault="00943427" w:rsidP="00704CC0">
            <w:pPr>
              <w:pStyle w:val="Normal-Table"/>
              <w:tabs>
                <w:tab w:val="left" w:pos="567"/>
                <w:tab w:val="left" w:pos="1134"/>
                <w:tab w:val="left" w:pos="1701"/>
                <w:tab w:val="left" w:pos="2268"/>
              </w:tabs>
              <w:rPr>
                <w:sz w:val="18"/>
              </w:rPr>
            </w:pPr>
            <w:r w:rsidRPr="006D2D0A">
              <w:rPr>
                <w:sz w:val="18"/>
              </w:rPr>
              <w:t>Transfer of accumulated realised losses on investments sold</w:t>
            </w:r>
          </w:p>
        </w:tc>
        <w:tc>
          <w:tcPr>
            <w:tcW w:w="656" w:type="pct"/>
            <w:tcBorders>
              <w:left w:val="nil"/>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w:t>
            </w:r>
          </w:p>
        </w:tc>
        <w:tc>
          <w:tcPr>
            <w:tcW w:w="657" w:type="pct"/>
            <w:tcBorders>
              <w:left w:val="nil"/>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w:t>
            </w:r>
          </w:p>
        </w:tc>
        <w:tc>
          <w:tcPr>
            <w:tcW w:w="656" w:type="pct"/>
            <w:tcBorders>
              <w:left w:val="nil"/>
              <w:right w:val="nil"/>
            </w:tcBorders>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w:t>
            </w:r>
          </w:p>
        </w:tc>
        <w:tc>
          <w:tcPr>
            <w:tcW w:w="657" w:type="pct"/>
            <w:tcBorders>
              <w:left w:val="nil"/>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6,832</w:t>
            </w:r>
          </w:p>
        </w:tc>
        <w:tc>
          <w:tcPr>
            <w:tcW w:w="696" w:type="pct"/>
            <w:tcBorders>
              <w:left w:val="nil"/>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(6,832)</w:t>
            </w:r>
          </w:p>
        </w:tc>
        <w:tc>
          <w:tcPr>
            <w:tcW w:w="617" w:type="pct"/>
            <w:tcBorders>
              <w:left w:val="nil"/>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w:t>
            </w:r>
          </w:p>
        </w:tc>
      </w:tr>
      <w:tr w:rsidR="00943427" w:rsidRPr="006D2D0A" w:rsidTr="00562F9C">
        <w:trPr>
          <w:cantSplit/>
          <w:trHeight w:val="20"/>
        </w:trPr>
        <w:tc>
          <w:tcPr>
            <w:tcW w:w="1061" w:type="pct"/>
            <w:tcBorders>
              <w:left w:val="nil"/>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rPr>
                <w:b/>
                <w:sz w:val="18"/>
              </w:rPr>
            </w:pPr>
            <w:r w:rsidRPr="006D2D0A">
              <w:rPr>
                <w:sz w:val="18"/>
              </w:rPr>
              <w:t>(Loss) for the year</w:t>
            </w:r>
          </w:p>
        </w:tc>
        <w:tc>
          <w:tcPr>
            <w:tcW w:w="656" w:type="pct"/>
            <w:tcBorders>
              <w:left w:val="nil"/>
              <w:bottom w:val="single" w:sz="4" w:space="0" w:color="auto"/>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w:t>
            </w:r>
          </w:p>
        </w:tc>
        <w:tc>
          <w:tcPr>
            <w:tcW w:w="657" w:type="pct"/>
            <w:tcBorders>
              <w:left w:val="nil"/>
              <w:bottom w:val="single" w:sz="4" w:space="0" w:color="auto"/>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w:t>
            </w:r>
          </w:p>
        </w:tc>
        <w:tc>
          <w:tcPr>
            <w:tcW w:w="656" w:type="pct"/>
            <w:tcBorders>
              <w:left w:val="nil"/>
              <w:bottom w:val="single" w:sz="4" w:space="0" w:color="auto"/>
              <w:right w:val="nil"/>
            </w:tcBorders>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w:t>
            </w:r>
          </w:p>
        </w:tc>
        <w:tc>
          <w:tcPr>
            <w:tcW w:w="657" w:type="pct"/>
            <w:tcBorders>
              <w:left w:val="nil"/>
              <w:bottom w:val="single" w:sz="4" w:space="0" w:color="auto"/>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w:t>
            </w:r>
          </w:p>
        </w:tc>
        <w:tc>
          <w:tcPr>
            <w:tcW w:w="696" w:type="pct"/>
            <w:tcBorders>
              <w:left w:val="nil"/>
              <w:bottom w:val="single" w:sz="4" w:space="0" w:color="auto"/>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(3,859)</w:t>
            </w:r>
          </w:p>
        </w:tc>
        <w:tc>
          <w:tcPr>
            <w:tcW w:w="617" w:type="pct"/>
            <w:tcBorders>
              <w:left w:val="nil"/>
              <w:bottom w:val="single" w:sz="4" w:space="0" w:color="auto"/>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(3,859)</w:t>
            </w:r>
          </w:p>
        </w:tc>
      </w:tr>
      <w:tr w:rsidR="00943427" w:rsidRPr="006D2D0A" w:rsidTr="00562F9C">
        <w:trPr>
          <w:cantSplit/>
          <w:trHeight w:val="20"/>
        </w:trPr>
        <w:tc>
          <w:tcPr>
            <w:tcW w:w="1061" w:type="pct"/>
            <w:tcBorders>
              <w:left w:val="nil"/>
              <w:right w:val="nil"/>
            </w:tcBorders>
            <w:shd w:val="clear" w:color="auto" w:fill="auto"/>
            <w:noWrap/>
          </w:tcPr>
          <w:p w:rsidR="00943427" w:rsidRPr="006D2D0A" w:rsidRDefault="00943427" w:rsidP="00704CC0">
            <w:pPr>
              <w:pStyle w:val="Normal-Table"/>
              <w:tabs>
                <w:tab w:val="left" w:pos="567"/>
                <w:tab w:val="left" w:pos="1134"/>
                <w:tab w:val="left" w:pos="1701"/>
                <w:tab w:val="left" w:pos="2268"/>
              </w:tabs>
              <w:rPr>
                <w:i/>
                <w:sz w:val="18"/>
              </w:rPr>
            </w:pPr>
            <w:r w:rsidRPr="006D2D0A">
              <w:rPr>
                <w:i/>
                <w:sz w:val="18"/>
              </w:rPr>
              <w:t xml:space="preserve">Total comprehensive (loss)  for the year                                         </w:t>
            </w:r>
          </w:p>
        </w:tc>
        <w:tc>
          <w:tcPr>
            <w:tcW w:w="656" w:type="pct"/>
            <w:tcBorders>
              <w:top w:val="single" w:sz="4" w:space="0" w:color="auto"/>
              <w:left w:val="nil"/>
              <w:bottom w:val="single" w:sz="4" w:space="0" w:color="auto"/>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w:t>
            </w:r>
          </w:p>
        </w:tc>
        <w:tc>
          <w:tcPr>
            <w:tcW w:w="657" w:type="pct"/>
            <w:tcBorders>
              <w:top w:val="single" w:sz="4" w:space="0" w:color="auto"/>
              <w:left w:val="nil"/>
              <w:bottom w:val="single" w:sz="4" w:space="0" w:color="auto"/>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w:t>
            </w:r>
          </w:p>
        </w:tc>
        <w:tc>
          <w:tcPr>
            <w:tcW w:w="656" w:type="pct"/>
            <w:tcBorders>
              <w:top w:val="single" w:sz="4" w:space="0" w:color="auto"/>
              <w:left w:val="nil"/>
              <w:bottom w:val="single" w:sz="4" w:space="0" w:color="auto"/>
              <w:right w:val="nil"/>
            </w:tcBorders>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w:t>
            </w:r>
          </w:p>
        </w:tc>
        <w:tc>
          <w:tcPr>
            <w:tcW w:w="657" w:type="pct"/>
            <w:tcBorders>
              <w:top w:val="single" w:sz="4" w:space="0" w:color="auto"/>
              <w:left w:val="nil"/>
              <w:bottom w:val="single" w:sz="4" w:space="0" w:color="auto"/>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4,150</w:t>
            </w:r>
          </w:p>
        </w:tc>
        <w:tc>
          <w:tcPr>
            <w:tcW w:w="696" w:type="pct"/>
            <w:tcBorders>
              <w:top w:val="single" w:sz="4" w:space="0" w:color="auto"/>
              <w:left w:val="nil"/>
              <w:bottom w:val="single" w:sz="4" w:space="0" w:color="auto"/>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(8,009)</w:t>
            </w:r>
          </w:p>
        </w:tc>
        <w:tc>
          <w:tcPr>
            <w:tcW w:w="617" w:type="pct"/>
            <w:tcBorders>
              <w:top w:val="single" w:sz="4" w:space="0" w:color="auto"/>
              <w:left w:val="nil"/>
              <w:bottom w:val="single" w:sz="4" w:space="0" w:color="auto"/>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(3,859)</w:t>
            </w:r>
          </w:p>
        </w:tc>
      </w:tr>
      <w:tr w:rsidR="00943427" w:rsidRPr="006D2D0A" w:rsidTr="00562F9C">
        <w:trPr>
          <w:cantSplit/>
          <w:trHeight w:val="20"/>
        </w:trPr>
        <w:tc>
          <w:tcPr>
            <w:tcW w:w="1061" w:type="pct"/>
            <w:tcBorders>
              <w:left w:val="nil"/>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rPr>
                <w:b/>
                <w:sz w:val="18"/>
              </w:rPr>
            </w:pPr>
            <w:r w:rsidRPr="006D2D0A">
              <w:rPr>
                <w:b/>
                <w:sz w:val="18"/>
              </w:rPr>
              <w:t xml:space="preserve">Balance as at </w:t>
            </w:r>
            <w:r w:rsidR="006D2D0A">
              <w:rPr>
                <w:b/>
                <w:sz w:val="18"/>
              </w:rPr>
              <w:br/>
            </w:r>
            <w:r w:rsidRPr="006D2D0A">
              <w:rPr>
                <w:b/>
                <w:sz w:val="18"/>
              </w:rPr>
              <w:t>31 August 2013</w:t>
            </w:r>
          </w:p>
        </w:tc>
        <w:tc>
          <w:tcPr>
            <w:tcW w:w="656" w:type="pct"/>
            <w:tcBorders>
              <w:top w:val="single" w:sz="4" w:space="0" w:color="auto"/>
              <w:left w:val="nil"/>
              <w:bottom w:val="single" w:sz="4" w:space="0" w:color="auto"/>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246</w:t>
            </w:r>
          </w:p>
        </w:tc>
        <w:tc>
          <w:tcPr>
            <w:tcW w:w="657" w:type="pct"/>
            <w:tcBorders>
              <w:top w:val="single" w:sz="4" w:space="0" w:color="auto"/>
              <w:left w:val="nil"/>
              <w:bottom w:val="single" w:sz="4" w:space="0" w:color="auto"/>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20,752</w:t>
            </w:r>
          </w:p>
        </w:tc>
        <w:tc>
          <w:tcPr>
            <w:tcW w:w="656" w:type="pct"/>
            <w:tcBorders>
              <w:top w:val="single" w:sz="4" w:space="0" w:color="auto"/>
              <w:left w:val="nil"/>
              <w:bottom w:val="single" w:sz="4" w:space="0" w:color="auto"/>
              <w:right w:val="nil"/>
            </w:tcBorders>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17,462</w:t>
            </w:r>
          </w:p>
        </w:tc>
        <w:tc>
          <w:tcPr>
            <w:tcW w:w="657" w:type="pct"/>
            <w:tcBorders>
              <w:top w:val="single" w:sz="4" w:space="0" w:color="auto"/>
              <w:left w:val="nil"/>
              <w:bottom w:val="single" w:sz="4" w:space="0" w:color="auto"/>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(12,408)</w:t>
            </w:r>
          </w:p>
        </w:tc>
        <w:tc>
          <w:tcPr>
            <w:tcW w:w="696" w:type="pct"/>
            <w:tcBorders>
              <w:top w:val="single" w:sz="4" w:space="0" w:color="auto"/>
              <w:left w:val="nil"/>
              <w:bottom w:val="single" w:sz="4" w:space="0" w:color="auto"/>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(17,926)</w:t>
            </w:r>
          </w:p>
        </w:tc>
        <w:tc>
          <w:tcPr>
            <w:tcW w:w="617" w:type="pct"/>
            <w:tcBorders>
              <w:top w:val="single" w:sz="4" w:space="0" w:color="auto"/>
              <w:left w:val="nil"/>
              <w:bottom w:val="single" w:sz="4" w:space="0" w:color="auto"/>
              <w:right w:val="nil"/>
            </w:tcBorders>
            <w:shd w:val="clear" w:color="auto" w:fill="auto"/>
            <w:noWrap/>
            <w:vAlign w:val="bottom"/>
          </w:tcPr>
          <w:p w:rsidR="00943427" w:rsidRPr="006D2D0A" w:rsidRDefault="00943427" w:rsidP="00704CC0">
            <w:pPr>
              <w:pStyle w:val="Normal-Table"/>
              <w:tabs>
                <w:tab w:val="left" w:pos="567"/>
                <w:tab w:val="left" w:pos="1134"/>
                <w:tab w:val="left" w:pos="1701"/>
                <w:tab w:val="left" w:pos="2268"/>
              </w:tabs>
              <w:jc w:val="right"/>
              <w:rPr>
                <w:b/>
                <w:sz w:val="18"/>
              </w:rPr>
            </w:pPr>
            <w:r w:rsidRPr="006D2D0A">
              <w:rPr>
                <w:b/>
                <w:sz w:val="18"/>
              </w:rPr>
              <w:t>8,126</w:t>
            </w:r>
          </w:p>
        </w:tc>
      </w:tr>
    </w:tbl>
    <w:p w:rsidR="006D2D0A" w:rsidRPr="00EB02DA" w:rsidRDefault="006D2D0A" w:rsidP="00704CC0">
      <w:pPr>
        <w:pStyle w:val="Normal2-Para"/>
        <w:tabs>
          <w:tab w:val="left" w:pos="567"/>
          <w:tab w:val="left" w:pos="1134"/>
          <w:tab w:val="left" w:pos="1701"/>
          <w:tab w:val="left" w:pos="2268"/>
        </w:tabs>
        <w:spacing w:line="240" w:lineRule="auto"/>
        <w:rPr>
          <w:i/>
        </w:rPr>
      </w:pPr>
      <w:r w:rsidRPr="00EB02DA">
        <w:rPr>
          <w:i/>
        </w:rPr>
        <w:t>(The accompanying notes are an integral part of the financial statements.)</w:t>
      </w:r>
    </w:p>
    <w:bookmarkEnd w:id="14"/>
    <w:p w:rsidR="001A7A43" w:rsidRPr="00704CC0" w:rsidRDefault="001A7A43" w:rsidP="00704CC0">
      <w:pPr>
        <w:pStyle w:val="Heading2-Para"/>
        <w:spacing w:before="720" w:after="120"/>
        <w:rPr>
          <w:sz w:val="24"/>
          <w:szCs w:val="24"/>
        </w:rPr>
      </w:pPr>
      <w:r w:rsidRPr="00704CC0">
        <w:rPr>
          <w:sz w:val="24"/>
          <w:szCs w:val="24"/>
        </w:rPr>
        <w:t>Company Statement of Changes in Equity</w:t>
      </w:r>
    </w:p>
    <w:tbl>
      <w:tblPr>
        <w:tblW w:w="8953" w:type="dxa"/>
        <w:tblLayout w:type="fixed"/>
        <w:tblCellMar>
          <w:top w:w="28" w:type="dxa"/>
          <w:left w:w="57" w:type="dxa"/>
          <w:bottom w:w="28" w:type="dxa"/>
          <w:right w:w="57" w:type="dxa"/>
        </w:tblCellMar>
        <w:tblLook w:val="04A0"/>
      </w:tblPr>
      <w:tblGrid>
        <w:gridCol w:w="1900"/>
        <w:gridCol w:w="1411"/>
        <w:gridCol w:w="1411"/>
        <w:gridCol w:w="1411"/>
        <w:gridCol w:w="1411"/>
        <w:gridCol w:w="1409"/>
      </w:tblGrid>
      <w:tr w:rsidR="00EB02DA" w:rsidRPr="00A76890" w:rsidTr="00562F9C">
        <w:trPr>
          <w:trHeight w:val="828"/>
        </w:trPr>
        <w:tc>
          <w:tcPr>
            <w:tcW w:w="1061" w:type="pct"/>
            <w:tcBorders>
              <w:top w:val="nil"/>
              <w:left w:val="nil"/>
              <w:right w:val="nil"/>
            </w:tcBorders>
            <w:shd w:val="clear" w:color="auto" w:fill="auto"/>
            <w:noWrap/>
            <w:vAlign w:val="bottom"/>
          </w:tcPr>
          <w:p w:rsidR="00EB02DA" w:rsidRPr="006D2D0A" w:rsidRDefault="00EB02DA" w:rsidP="00704CC0">
            <w:pPr>
              <w:keepNext/>
              <w:keepLines/>
              <w:tabs>
                <w:tab w:val="left" w:pos="567"/>
                <w:tab w:val="left" w:pos="1134"/>
                <w:tab w:val="left" w:pos="1701"/>
                <w:tab w:val="left" w:pos="2268"/>
              </w:tabs>
              <w:rPr>
                <w:rFonts w:cs="Arial"/>
                <w:sz w:val="18"/>
                <w:szCs w:val="18"/>
              </w:rPr>
            </w:pPr>
          </w:p>
          <w:p w:rsidR="00EB02DA" w:rsidRPr="006D2D0A" w:rsidRDefault="00EB02DA" w:rsidP="00704CC0">
            <w:pPr>
              <w:keepNext/>
              <w:keepLines/>
              <w:tabs>
                <w:tab w:val="left" w:pos="567"/>
                <w:tab w:val="left" w:pos="1134"/>
                <w:tab w:val="left" w:pos="1701"/>
                <w:tab w:val="left" w:pos="2268"/>
              </w:tabs>
              <w:rPr>
                <w:rFonts w:cs="Arial"/>
                <w:sz w:val="18"/>
                <w:szCs w:val="18"/>
              </w:rPr>
            </w:pPr>
          </w:p>
        </w:tc>
        <w:tc>
          <w:tcPr>
            <w:tcW w:w="788" w:type="pct"/>
            <w:tcBorders>
              <w:top w:val="nil"/>
              <w:left w:val="nil"/>
              <w:right w:val="nil"/>
            </w:tcBorders>
            <w:shd w:val="clear" w:color="auto" w:fill="auto"/>
            <w:vAlign w:val="bottom"/>
          </w:tcPr>
          <w:p w:rsidR="00EB02DA" w:rsidRPr="006D2D0A" w:rsidRDefault="00EB02DA"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 xml:space="preserve">Share </w:t>
            </w:r>
            <w:r>
              <w:rPr>
                <w:rFonts w:cs="Arial"/>
                <w:b/>
                <w:bCs/>
                <w:sz w:val="18"/>
                <w:szCs w:val="18"/>
              </w:rPr>
              <w:br/>
            </w:r>
            <w:r w:rsidRPr="006D2D0A">
              <w:rPr>
                <w:rFonts w:cs="Arial"/>
                <w:b/>
                <w:bCs/>
                <w:sz w:val="18"/>
                <w:szCs w:val="18"/>
              </w:rPr>
              <w:t>capital</w:t>
            </w:r>
          </w:p>
          <w:p w:rsidR="00EB02DA" w:rsidRPr="006D2D0A" w:rsidRDefault="00EB02DA"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£'000</w:t>
            </w:r>
          </w:p>
        </w:tc>
        <w:tc>
          <w:tcPr>
            <w:tcW w:w="788" w:type="pct"/>
            <w:tcBorders>
              <w:top w:val="nil"/>
              <w:left w:val="nil"/>
              <w:right w:val="nil"/>
            </w:tcBorders>
            <w:shd w:val="clear" w:color="auto" w:fill="auto"/>
            <w:vAlign w:val="bottom"/>
          </w:tcPr>
          <w:p w:rsidR="00EB02DA" w:rsidRPr="006D2D0A" w:rsidRDefault="00EB02DA"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Share premium</w:t>
            </w:r>
          </w:p>
          <w:p w:rsidR="00EB02DA" w:rsidRPr="006D2D0A" w:rsidRDefault="00EB02DA"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£'000</w:t>
            </w:r>
          </w:p>
        </w:tc>
        <w:tc>
          <w:tcPr>
            <w:tcW w:w="788" w:type="pct"/>
            <w:tcBorders>
              <w:top w:val="nil"/>
              <w:left w:val="nil"/>
              <w:right w:val="nil"/>
            </w:tcBorders>
            <w:vAlign w:val="bottom"/>
          </w:tcPr>
          <w:p w:rsidR="00EB02DA" w:rsidRPr="006D2D0A" w:rsidRDefault="00EB02DA"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Distributable   Capital Reserve</w:t>
            </w:r>
          </w:p>
          <w:p w:rsidR="00EB02DA" w:rsidRPr="006D2D0A" w:rsidRDefault="00EB02DA"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£'000</w:t>
            </w:r>
          </w:p>
        </w:tc>
        <w:tc>
          <w:tcPr>
            <w:tcW w:w="788" w:type="pct"/>
            <w:tcBorders>
              <w:top w:val="nil"/>
              <w:left w:val="nil"/>
              <w:right w:val="nil"/>
            </w:tcBorders>
            <w:shd w:val="clear" w:color="auto" w:fill="auto"/>
            <w:vAlign w:val="bottom"/>
          </w:tcPr>
          <w:p w:rsidR="00EB02DA" w:rsidRPr="006D2D0A" w:rsidRDefault="00EB02DA"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 xml:space="preserve">Accumulated losses </w:t>
            </w:r>
          </w:p>
          <w:p w:rsidR="00EB02DA" w:rsidRPr="006D2D0A" w:rsidRDefault="00EB02DA"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£'000</w:t>
            </w:r>
          </w:p>
        </w:tc>
        <w:tc>
          <w:tcPr>
            <w:tcW w:w="787" w:type="pct"/>
            <w:tcBorders>
              <w:top w:val="nil"/>
              <w:left w:val="nil"/>
              <w:right w:val="nil"/>
            </w:tcBorders>
            <w:shd w:val="clear" w:color="auto" w:fill="auto"/>
            <w:vAlign w:val="bottom"/>
          </w:tcPr>
          <w:p w:rsidR="00EB02DA" w:rsidRPr="006D2D0A" w:rsidRDefault="00EB02DA"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Total</w:t>
            </w:r>
          </w:p>
          <w:p w:rsidR="00EB02DA" w:rsidRPr="006D2D0A" w:rsidRDefault="00EB02DA"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£'000</w:t>
            </w:r>
          </w:p>
        </w:tc>
      </w:tr>
      <w:tr w:rsidR="00DB49CA" w:rsidRPr="00A76890" w:rsidTr="00562F9C">
        <w:trPr>
          <w:trHeight w:val="255"/>
        </w:trPr>
        <w:tc>
          <w:tcPr>
            <w:tcW w:w="1061" w:type="pct"/>
            <w:tcBorders>
              <w:top w:val="nil"/>
              <w:left w:val="nil"/>
              <w:bottom w:val="nil"/>
              <w:right w:val="nil"/>
            </w:tcBorders>
            <w:shd w:val="clear" w:color="auto" w:fill="auto"/>
            <w:noWrap/>
            <w:vAlign w:val="bottom"/>
          </w:tcPr>
          <w:p w:rsidR="00DB49CA" w:rsidRPr="006D2D0A" w:rsidRDefault="00DB49CA" w:rsidP="00704CC0">
            <w:pPr>
              <w:keepNext/>
              <w:keepLines/>
              <w:tabs>
                <w:tab w:val="left" w:pos="567"/>
                <w:tab w:val="left" w:pos="1134"/>
                <w:tab w:val="left" w:pos="1701"/>
                <w:tab w:val="left" w:pos="2268"/>
              </w:tabs>
              <w:rPr>
                <w:rFonts w:cs="Arial"/>
                <w:b/>
                <w:sz w:val="18"/>
                <w:szCs w:val="18"/>
              </w:rPr>
            </w:pPr>
            <w:r w:rsidRPr="006D2D0A">
              <w:rPr>
                <w:rFonts w:cs="Arial"/>
                <w:b/>
                <w:sz w:val="18"/>
                <w:szCs w:val="18"/>
              </w:rPr>
              <w:t xml:space="preserve">Balance as at </w:t>
            </w:r>
            <w:r w:rsidR="006D2D0A">
              <w:rPr>
                <w:rFonts w:cs="Arial"/>
                <w:b/>
                <w:sz w:val="18"/>
                <w:szCs w:val="18"/>
              </w:rPr>
              <w:br/>
            </w:r>
            <w:r w:rsidRPr="006D2D0A">
              <w:rPr>
                <w:rFonts w:cs="Arial"/>
                <w:b/>
                <w:sz w:val="18"/>
                <w:szCs w:val="18"/>
              </w:rPr>
              <w:t xml:space="preserve">1 September 2011       </w:t>
            </w:r>
          </w:p>
        </w:tc>
        <w:tc>
          <w:tcPr>
            <w:tcW w:w="788" w:type="pct"/>
            <w:tcBorders>
              <w:top w:val="nil"/>
              <w:left w:val="nil"/>
              <w:bottom w:val="single" w:sz="4" w:space="0" w:color="auto"/>
              <w:right w:val="nil"/>
            </w:tcBorders>
            <w:shd w:val="clear" w:color="auto" w:fill="auto"/>
            <w:noWrap/>
            <w:vAlign w:val="bottom"/>
          </w:tcPr>
          <w:p w:rsidR="00DB49CA" w:rsidRPr="006D2D0A" w:rsidRDefault="00DB49CA"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484</w:t>
            </w:r>
          </w:p>
        </w:tc>
        <w:tc>
          <w:tcPr>
            <w:tcW w:w="788" w:type="pct"/>
            <w:tcBorders>
              <w:top w:val="nil"/>
              <w:left w:val="nil"/>
              <w:bottom w:val="single" w:sz="4" w:space="0" w:color="auto"/>
              <w:right w:val="nil"/>
            </w:tcBorders>
            <w:shd w:val="clear" w:color="auto" w:fill="auto"/>
            <w:noWrap/>
            <w:vAlign w:val="bottom"/>
          </w:tcPr>
          <w:p w:rsidR="00DB49CA" w:rsidRPr="006D2D0A" w:rsidRDefault="00DB49CA"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 xml:space="preserve">20,752 </w:t>
            </w:r>
          </w:p>
        </w:tc>
        <w:tc>
          <w:tcPr>
            <w:tcW w:w="788" w:type="pct"/>
            <w:tcBorders>
              <w:top w:val="nil"/>
              <w:left w:val="nil"/>
              <w:bottom w:val="single" w:sz="4" w:space="0" w:color="auto"/>
              <w:right w:val="nil"/>
            </w:tcBorders>
            <w:vAlign w:val="bottom"/>
          </w:tcPr>
          <w:p w:rsidR="00DB49CA" w:rsidRPr="006D2D0A" w:rsidRDefault="00DB49CA"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26,456</w:t>
            </w:r>
          </w:p>
        </w:tc>
        <w:tc>
          <w:tcPr>
            <w:tcW w:w="788" w:type="pct"/>
            <w:tcBorders>
              <w:top w:val="nil"/>
              <w:left w:val="nil"/>
              <w:bottom w:val="single" w:sz="4" w:space="0" w:color="auto"/>
              <w:right w:val="nil"/>
            </w:tcBorders>
            <w:shd w:val="clear" w:color="auto" w:fill="auto"/>
            <w:noWrap/>
            <w:vAlign w:val="bottom"/>
          </w:tcPr>
          <w:p w:rsidR="00DB49CA" w:rsidRPr="006D2D0A" w:rsidRDefault="00DB49CA"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(22,765)</w:t>
            </w:r>
          </w:p>
        </w:tc>
        <w:tc>
          <w:tcPr>
            <w:tcW w:w="787" w:type="pct"/>
            <w:tcBorders>
              <w:top w:val="nil"/>
              <w:left w:val="nil"/>
              <w:bottom w:val="single" w:sz="4" w:space="0" w:color="auto"/>
              <w:right w:val="nil"/>
            </w:tcBorders>
            <w:shd w:val="clear" w:color="auto" w:fill="auto"/>
            <w:noWrap/>
            <w:vAlign w:val="bottom"/>
          </w:tcPr>
          <w:p w:rsidR="00DB49CA" w:rsidRPr="006D2D0A" w:rsidRDefault="00DB49CA"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24,927</w:t>
            </w:r>
          </w:p>
        </w:tc>
      </w:tr>
      <w:tr w:rsidR="00185F77" w:rsidRPr="00A76890" w:rsidTr="00562F9C">
        <w:trPr>
          <w:trHeight w:val="255"/>
        </w:trPr>
        <w:tc>
          <w:tcPr>
            <w:tcW w:w="1061" w:type="pct"/>
            <w:tcBorders>
              <w:top w:val="nil"/>
              <w:left w:val="nil"/>
              <w:bottom w:val="nil"/>
              <w:right w:val="nil"/>
            </w:tcBorders>
            <w:shd w:val="clear" w:color="auto" w:fill="auto"/>
            <w:noWrap/>
            <w:vAlign w:val="bottom"/>
          </w:tcPr>
          <w:p w:rsidR="00185F77" w:rsidRPr="006D2D0A" w:rsidRDefault="00185F77" w:rsidP="00704CC0">
            <w:pPr>
              <w:keepNext/>
              <w:keepLines/>
              <w:tabs>
                <w:tab w:val="left" w:pos="567"/>
                <w:tab w:val="left" w:pos="1134"/>
                <w:tab w:val="left" w:pos="1701"/>
                <w:tab w:val="left" w:pos="2268"/>
              </w:tabs>
              <w:rPr>
                <w:rFonts w:cs="Arial"/>
                <w:sz w:val="18"/>
                <w:szCs w:val="18"/>
              </w:rPr>
            </w:pPr>
            <w:r w:rsidRPr="006D2D0A">
              <w:rPr>
                <w:rFonts w:cs="Arial"/>
                <w:sz w:val="18"/>
                <w:szCs w:val="18"/>
              </w:rPr>
              <w:t xml:space="preserve">Shares bought back </w:t>
            </w:r>
          </w:p>
        </w:tc>
        <w:tc>
          <w:tcPr>
            <w:tcW w:w="788" w:type="pct"/>
            <w:tcBorders>
              <w:top w:val="single" w:sz="4" w:space="0" w:color="auto"/>
              <w:left w:val="nil"/>
              <w:bottom w:val="single" w:sz="4" w:space="0" w:color="auto"/>
              <w:right w:val="nil"/>
            </w:tcBorders>
            <w:shd w:val="clear" w:color="auto" w:fill="auto"/>
            <w:noWrap/>
            <w:vAlign w:val="bottom"/>
          </w:tcPr>
          <w:p w:rsidR="00185F77" w:rsidRPr="006D2D0A" w:rsidRDefault="00185F77" w:rsidP="00704CC0">
            <w:pPr>
              <w:keepNext/>
              <w:keepLines/>
              <w:tabs>
                <w:tab w:val="left" w:pos="567"/>
                <w:tab w:val="left" w:pos="1134"/>
                <w:tab w:val="left" w:pos="1701"/>
                <w:tab w:val="left" w:pos="2268"/>
              </w:tabs>
              <w:jc w:val="right"/>
              <w:rPr>
                <w:rFonts w:cs="Arial"/>
                <w:sz w:val="18"/>
                <w:szCs w:val="18"/>
              </w:rPr>
            </w:pPr>
            <w:r w:rsidRPr="006D2D0A">
              <w:rPr>
                <w:rFonts w:cs="Arial"/>
                <w:sz w:val="18"/>
                <w:szCs w:val="18"/>
              </w:rPr>
              <w:t>(7)</w:t>
            </w:r>
          </w:p>
        </w:tc>
        <w:tc>
          <w:tcPr>
            <w:tcW w:w="788" w:type="pct"/>
            <w:tcBorders>
              <w:top w:val="single" w:sz="4" w:space="0" w:color="auto"/>
              <w:left w:val="nil"/>
              <w:bottom w:val="single" w:sz="4" w:space="0" w:color="auto"/>
              <w:right w:val="nil"/>
            </w:tcBorders>
            <w:shd w:val="clear" w:color="auto" w:fill="auto"/>
            <w:noWrap/>
            <w:vAlign w:val="bottom"/>
          </w:tcPr>
          <w:p w:rsidR="00185F77" w:rsidRPr="006D2D0A" w:rsidRDefault="00185F77" w:rsidP="00704CC0">
            <w:pPr>
              <w:keepNext/>
              <w:keepLines/>
              <w:tabs>
                <w:tab w:val="left" w:pos="567"/>
                <w:tab w:val="left" w:pos="1134"/>
                <w:tab w:val="left" w:pos="1701"/>
                <w:tab w:val="left" w:pos="2268"/>
              </w:tabs>
              <w:jc w:val="right"/>
              <w:rPr>
                <w:rFonts w:cs="Arial"/>
                <w:sz w:val="18"/>
                <w:szCs w:val="18"/>
              </w:rPr>
            </w:pPr>
            <w:r w:rsidRPr="006D2D0A">
              <w:rPr>
                <w:rFonts w:cs="Arial"/>
                <w:sz w:val="18"/>
                <w:szCs w:val="18"/>
              </w:rPr>
              <w:t>-</w:t>
            </w:r>
          </w:p>
        </w:tc>
        <w:tc>
          <w:tcPr>
            <w:tcW w:w="788" w:type="pct"/>
            <w:tcBorders>
              <w:top w:val="single" w:sz="4" w:space="0" w:color="auto"/>
              <w:left w:val="nil"/>
              <w:bottom w:val="single" w:sz="4" w:space="0" w:color="auto"/>
              <w:right w:val="nil"/>
            </w:tcBorders>
            <w:vAlign w:val="bottom"/>
          </w:tcPr>
          <w:p w:rsidR="00185F77" w:rsidRPr="006D2D0A" w:rsidRDefault="00185F77" w:rsidP="00704CC0">
            <w:pPr>
              <w:keepNext/>
              <w:keepLines/>
              <w:tabs>
                <w:tab w:val="left" w:pos="567"/>
                <w:tab w:val="left" w:pos="1134"/>
                <w:tab w:val="left" w:pos="1701"/>
                <w:tab w:val="left" w:pos="2268"/>
              </w:tabs>
              <w:jc w:val="right"/>
              <w:rPr>
                <w:rFonts w:cs="Arial"/>
                <w:sz w:val="18"/>
                <w:szCs w:val="18"/>
              </w:rPr>
            </w:pPr>
            <w:r w:rsidRPr="006D2D0A">
              <w:rPr>
                <w:rFonts w:cs="Arial"/>
                <w:sz w:val="18"/>
                <w:szCs w:val="18"/>
              </w:rPr>
              <w:t>(225)</w:t>
            </w:r>
          </w:p>
        </w:tc>
        <w:tc>
          <w:tcPr>
            <w:tcW w:w="788" w:type="pct"/>
            <w:tcBorders>
              <w:top w:val="single" w:sz="4" w:space="0" w:color="auto"/>
              <w:left w:val="nil"/>
              <w:bottom w:val="single" w:sz="4" w:space="0" w:color="auto"/>
              <w:right w:val="nil"/>
            </w:tcBorders>
            <w:shd w:val="clear" w:color="auto" w:fill="auto"/>
            <w:noWrap/>
            <w:vAlign w:val="bottom"/>
          </w:tcPr>
          <w:p w:rsidR="00185F77" w:rsidRPr="006D2D0A" w:rsidRDefault="00185F77" w:rsidP="00704CC0">
            <w:pPr>
              <w:keepNext/>
              <w:keepLines/>
              <w:tabs>
                <w:tab w:val="left" w:pos="567"/>
                <w:tab w:val="left" w:pos="1134"/>
                <w:tab w:val="left" w:pos="1701"/>
                <w:tab w:val="left" w:pos="2268"/>
              </w:tabs>
              <w:jc w:val="right"/>
              <w:rPr>
                <w:rFonts w:cs="Arial"/>
                <w:sz w:val="18"/>
                <w:szCs w:val="18"/>
              </w:rPr>
            </w:pPr>
            <w:r w:rsidRPr="006D2D0A">
              <w:rPr>
                <w:rFonts w:cs="Arial"/>
                <w:sz w:val="18"/>
                <w:szCs w:val="18"/>
              </w:rPr>
              <w:t>-</w:t>
            </w:r>
          </w:p>
        </w:tc>
        <w:tc>
          <w:tcPr>
            <w:tcW w:w="787" w:type="pct"/>
            <w:tcBorders>
              <w:top w:val="single" w:sz="4" w:space="0" w:color="auto"/>
              <w:left w:val="nil"/>
              <w:bottom w:val="single" w:sz="4" w:space="0" w:color="auto"/>
              <w:right w:val="nil"/>
            </w:tcBorders>
            <w:shd w:val="clear" w:color="auto" w:fill="auto"/>
            <w:noWrap/>
            <w:vAlign w:val="bottom"/>
          </w:tcPr>
          <w:p w:rsidR="00185F77" w:rsidRPr="006D2D0A" w:rsidRDefault="00185F77" w:rsidP="00704CC0">
            <w:pPr>
              <w:keepNext/>
              <w:keepLines/>
              <w:tabs>
                <w:tab w:val="left" w:pos="567"/>
                <w:tab w:val="left" w:pos="1134"/>
                <w:tab w:val="left" w:pos="1701"/>
                <w:tab w:val="left" w:pos="2268"/>
              </w:tabs>
              <w:jc w:val="right"/>
              <w:rPr>
                <w:rFonts w:cs="Arial"/>
                <w:sz w:val="18"/>
                <w:szCs w:val="18"/>
              </w:rPr>
            </w:pPr>
            <w:r w:rsidRPr="006D2D0A">
              <w:rPr>
                <w:rFonts w:cs="Arial"/>
                <w:sz w:val="18"/>
                <w:szCs w:val="18"/>
              </w:rPr>
              <w:t>(232)</w:t>
            </w:r>
          </w:p>
        </w:tc>
      </w:tr>
      <w:tr w:rsidR="006E2DC2" w:rsidRPr="00A76890" w:rsidTr="00562F9C">
        <w:trPr>
          <w:trHeight w:val="255"/>
        </w:trPr>
        <w:tc>
          <w:tcPr>
            <w:tcW w:w="1061" w:type="pct"/>
            <w:tcBorders>
              <w:top w:val="nil"/>
              <w:left w:val="nil"/>
              <w:bottom w:val="nil"/>
              <w:right w:val="nil"/>
            </w:tcBorders>
            <w:shd w:val="clear" w:color="auto" w:fill="auto"/>
            <w:noWrap/>
            <w:vAlign w:val="bottom"/>
          </w:tcPr>
          <w:p w:rsidR="006E2DC2" w:rsidRPr="006D2D0A" w:rsidDel="00AA543B" w:rsidRDefault="006E2DC2" w:rsidP="00704CC0">
            <w:pPr>
              <w:keepNext/>
              <w:keepLines/>
              <w:tabs>
                <w:tab w:val="left" w:pos="567"/>
                <w:tab w:val="left" w:pos="1134"/>
                <w:tab w:val="left" w:pos="1701"/>
                <w:tab w:val="left" w:pos="2268"/>
              </w:tabs>
              <w:rPr>
                <w:rFonts w:cs="Arial"/>
                <w:i/>
                <w:sz w:val="18"/>
                <w:szCs w:val="18"/>
              </w:rPr>
            </w:pPr>
            <w:r w:rsidRPr="006D2D0A">
              <w:rPr>
                <w:rFonts w:cs="Arial"/>
                <w:i/>
                <w:sz w:val="18"/>
                <w:szCs w:val="18"/>
              </w:rPr>
              <w:t>Transaction</w:t>
            </w:r>
            <w:r w:rsidR="00A62E10" w:rsidRPr="006D2D0A">
              <w:rPr>
                <w:rFonts w:cs="Arial"/>
                <w:i/>
                <w:sz w:val="18"/>
                <w:szCs w:val="18"/>
              </w:rPr>
              <w:t>s</w:t>
            </w:r>
            <w:r w:rsidRPr="006D2D0A">
              <w:rPr>
                <w:rFonts w:cs="Arial"/>
                <w:i/>
                <w:sz w:val="18"/>
                <w:szCs w:val="18"/>
              </w:rPr>
              <w:t xml:space="preserve"> with the owner</w:t>
            </w:r>
            <w:r w:rsidR="00A62E10" w:rsidRPr="006D2D0A">
              <w:rPr>
                <w:rFonts w:cs="Arial"/>
                <w:i/>
                <w:sz w:val="18"/>
                <w:szCs w:val="18"/>
              </w:rPr>
              <w:t>s</w:t>
            </w:r>
          </w:p>
        </w:tc>
        <w:tc>
          <w:tcPr>
            <w:tcW w:w="788" w:type="pct"/>
            <w:tcBorders>
              <w:top w:val="single" w:sz="4" w:space="0" w:color="auto"/>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sz w:val="18"/>
                <w:szCs w:val="18"/>
              </w:rPr>
            </w:pPr>
            <w:r w:rsidRPr="006D2D0A">
              <w:rPr>
                <w:rFonts w:cs="Arial"/>
                <w:sz w:val="18"/>
                <w:szCs w:val="18"/>
              </w:rPr>
              <w:t>(7)</w:t>
            </w:r>
          </w:p>
        </w:tc>
        <w:tc>
          <w:tcPr>
            <w:tcW w:w="788" w:type="pct"/>
            <w:tcBorders>
              <w:top w:val="single" w:sz="4" w:space="0" w:color="auto"/>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sz w:val="18"/>
                <w:szCs w:val="18"/>
              </w:rPr>
            </w:pPr>
            <w:r w:rsidRPr="006D2D0A">
              <w:rPr>
                <w:rFonts w:cs="Arial"/>
                <w:sz w:val="18"/>
                <w:szCs w:val="18"/>
              </w:rPr>
              <w:t>-</w:t>
            </w:r>
          </w:p>
        </w:tc>
        <w:tc>
          <w:tcPr>
            <w:tcW w:w="788" w:type="pct"/>
            <w:tcBorders>
              <w:top w:val="single" w:sz="4" w:space="0" w:color="auto"/>
              <w:left w:val="nil"/>
              <w:bottom w:val="single" w:sz="4" w:space="0" w:color="auto"/>
              <w:right w:val="nil"/>
            </w:tcBorders>
            <w:vAlign w:val="bottom"/>
          </w:tcPr>
          <w:p w:rsidR="006E2DC2" w:rsidRPr="006D2D0A" w:rsidRDefault="006E2DC2" w:rsidP="00704CC0">
            <w:pPr>
              <w:keepNext/>
              <w:keepLines/>
              <w:tabs>
                <w:tab w:val="left" w:pos="567"/>
                <w:tab w:val="left" w:pos="1134"/>
                <w:tab w:val="left" w:pos="1701"/>
                <w:tab w:val="left" w:pos="2268"/>
              </w:tabs>
              <w:jc w:val="right"/>
              <w:rPr>
                <w:rFonts w:cs="Arial"/>
                <w:sz w:val="18"/>
                <w:szCs w:val="18"/>
              </w:rPr>
            </w:pPr>
            <w:r w:rsidRPr="006D2D0A">
              <w:rPr>
                <w:rFonts w:cs="Arial"/>
                <w:sz w:val="18"/>
                <w:szCs w:val="18"/>
              </w:rPr>
              <w:t>(225)</w:t>
            </w:r>
          </w:p>
        </w:tc>
        <w:tc>
          <w:tcPr>
            <w:tcW w:w="788" w:type="pct"/>
            <w:tcBorders>
              <w:top w:val="single" w:sz="4" w:space="0" w:color="auto"/>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sz w:val="18"/>
                <w:szCs w:val="18"/>
              </w:rPr>
            </w:pPr>
            <w:r w:rsidRPr="006D2D0A">
              <w:rPr>
                <w:rFonts w:cs="Arial"/>
                <w:sz w:val="18"/>
                <w:szCs w:val="18"/>
              </w:rPr>
              <w:t>-</w:t>
            </w:r>
          </w:p>
        </w:tc>
        <w:tc>
          <w:tcPr>
            <w:tcW w:w="787" w:type="pct"/>
            <w:tcBorders>
              <w:top w:val="single" w:sz="4" w:space="0" w:color="auto"/>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sz w:val="18"/>
                <w:szCs w:val="18"/>
              </w:rPr>
            </w:pPr>
            <w:r w:rsidRPr="006D2D0A">
              <w:rPr>
                <w:rFonts w:cs="Arial"/>
                <w:sz w:val="18"/>
                <w:szCs w:val="18"/>
              </w:rPr>
              <w:t>(232)</w:t>
            </w:r>
          </w:p>
        </w:tc>
      </w:tr>
      <w:tr w:rsidR="006E2DC2" w:rsidRPr="00A76890" w:rsidTr="00562F9C">
        <w:trPr>
          <w:trHeight w:val="270"/>
        </w:trPr>
        <w:tc>
          <w:tcPr>
            <w:tcW w:w="1061" w:type="pct"/>
            <w:tcBorders>
              <w:top w:val="nil"/>
              <w:left w:val="nil"/>
              <w:bottom w:val="nil"/>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rPr>
                <w:rFonts w:cs="Arial"/>
                <w:bCs/>
                <w:sz w:val="18"/>
                <w:szCs w:val="18"/>
              </w:rPr>
            </w:pPr>
            <w:r w:rsidRPr="006D2D0A">
              <w:rPr>
                <w:rFonts w:cs="Arial"/>
                <w:bCs/>
                <w:sz w:val="18"/>
                <w:szCs w:val="18"/>
              </w:rPr>
              <w:t>Loss for the year</w:t>
            </w:r>
          </w:p>
        </w:tc>
        <w:tc>
          <w:tcPr>
            <w:tcW w:w="788" w:type="pct"/>
            <w:tcBorders>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w:t>
            </w:r>
          </w:p>
        </w:tc>
        <w:tc>
          <w:tcPr>
            <w:tcW w:w="788" w:type="pct"/>
            <w:tcBorders>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w:t>
            </w:r>
          </w:p>
        </w:tc>
        <w:tc>
          <w:tcPr>
            <w:tcW w:w="788" w:type="pct"/>
            <w:tcBorders>
              <w:left w:val="nil"/>
              <w:bottom w:val="single" w:sz="4" w:space="0" w:color="auto"/>
              <w:right w:val="nil"/>
            </w:tcBorders>
            <w:vAlign w:val="bottom"/>
          </w:tcPr>
          <w:p w:rsidR="006E2DC2" w:rsidRPr="006D2D0A" w:rsidRDefault="006E2DC2"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w:t>
            </w:r>
          </w:p>
        </w:tc>
        <w:tc>
          <w:tcPr>
            <w:tcW w:w="788" w:type="pct"/>
            <w:tcBorders>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(3,522)</w:t>
            </w:r>
          </w:p>
        </w:tc>
        <w:tc>
          <w:tcPr>
            <w:tcW w:w="787" w:type="pct"/>
            <w:tcBorders>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(3,522)</w:t>
            </w:r>
          </w:p>
        </w:tc>
      </w:tr>
      <w:tr w:rsidR="006E2DC2" w:rsidRPr="00A76890" w:rsidTr="00562F9C">
        <w:trPr>
          <w:trHeight w:val="270"/>
        </w:trPr>
        <w:tc>
          <w:tcPr>
            <w:tcW w:w="1061" w:type="pct"/>
            <w:tcBorders>
              <w:top w:val="nil"/>
              <w:left w:val="nil"/>
              <w:bottom w:val="nil"/>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rPr>
                <w:rFonts w:cs="Arial"/>
                <w:bCs/>
                <w:sz w:val="18"/>
                <w:szCs w:val="18"/>
              </w:rPr>
            </w:pPr>
            <w:r w:rsidRPr="006D2D0A">
              <w:rPr>
                <w:rFonts w:cs="Arial"/>
                <w:i/>
                <w:sz w:val="18"/>
                <w:szCs w:val="18"/>
              </w:rPr>
              <w:t xml:space="preserve">Total comprehensive loss for the year </w:t>
            </w:r>
          </w:p>
        </w:tc>
        <w:tc>
          <w:tcPr>
            <w:tcW w:w="788" w:type="pct"/>
            <w:tcBorders>
              <w:top w:val="single" w:sz="4" w:space="0" w:color="auto"/>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w:t>
            </w:r>
          </w:p>
        </w:tc>
        <w:tc>
          <w:tcPr>
            <w:tcW w:w="788" w:type="pct"/>
            <w:tcBorders>
              <w:top w:val="single" w:sz="4" w:space="0" w:color="auto"/>
              <w:left w:val="nil"/>
              <w:bottom w:val="single" w:sz="4" w:space="0" w:color="auto"/>
              <w:right w:val="nil"/>
            </w:tcBorders>
            <w:shd w:val="clear" w:color="auto" w:fill="auto"/>
            <w:noWrap/>
            <w:vAlign w:val="bottom"/>
          </w:tcPr>
          <w:p w:rsidR="006E2DC2" w:rsidRPr="006D2D0A" w:rsidRDefault="006401DD"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w:t>
            </w:r>
          </w:p>
        </w:tc>
        <w:tc>
          <w:tcPr>
            <w:tcW w:w="788" w:type="pct"/>
            <w:tcBorders>
              <w:top w:val="single" w:sz="4" w:space="0" w:color="auto"/>
              <w:left w:val="nil"/>
              <w:bottom w:val="single" w:sz="4" w:space="0" w:color="auto"/>
              <w:right w:val="nil"/>
            </w:tcBorders>
            <w:vAlign w:val="bottom"/>
          </w:tcPr>
          <w:p w:rsidR="006E2DC2" w:rsidRPr="006D2D0A" w:rsidRDefault="006401DD"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w:t>
            </w:r>
          </w:p>
        </w:tc>
        <w:tc>
          <w:tcPr>
            <w:tcW w:w="788" w:type="pct"/>
            <w:tcBorders>
              <w:top w:val="single" w:sz="4" w:space="0" w:color="auto"/>
              <w:left w:val="nil"/>
              <w:bottom w:val="single" w:sz="4" w:space="0" w:color="auto"/>
              <w:right w:val="nil"/>
            </w:tcBorders>
            <w:shd w:val="clear" w:color="auto" w:fill="auto"/>
            <w:noWrap/>
            <w:vAlign w:val="bottom"/>
          </w:tcPr>
          <w:p w:rsidR="006E2DC2" w:rsidRPr="006D2D0A" w:rsidRDefault="006401DD"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(3,522)</w:t>
            </w:r>
          </w:p>
        </w:tc>
        <w:tc>
          <w:tcPr>
            <w:tcW w:w="787" w:type="pct"/>
            <w:tcBorders>
              <w:top w:val="single" w:sz="4" w:space="0" w:color="auto"/>
              <w:left w:val="nil"/>
              <w:bottom w:val="single" w:sz="4" w:space="0" w:color="auto"/>
              <w:right w:val="nil"/>
            </w:tcBorders>
            <w:shd w:val="clear" w:color="auto" w:fill="auto"/>
            <w:noWrap/>
            <w:vAlign w:val="bottom"/>
          </w:tcPr>
          <w:p w:rsidR="006E2DC2" w:rsidRPr="006D2D0A" w:rsidRDefault="006401DD"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(3</w:t>
            </w:r>
            <w:r w:rsidR="00943427" w:rsidRPr="006D2D0A">
              <w:rPr>
                <w:rFonts w:cs="Arial"/>
                <w:bCs/>
                <w:sz w:val="18"/>
                <w:szCs w:val="18"/>
              </w:rPr>
              <w:t>,</w:t>
            </w:r>
            <w:r w:rsidR="006E2DC2" w:rsidRPr="006D2D0A">
              <w:rPr>
                <w:rFonts w:cs="Arial"/>
                <w:bCs/>
                <w:sz w:val="18"/>
                <w:szCs w:val="18"/>
              </w:rPr>
              <w:t>522)</w:t>
            </w:r>
          </w:p>
        </w:tc>
      </w:tr>
      <w:tr w:rsidR="006E2DC2" w:rsidRPr="00A76890" w:rsidTr="00562F9C">
        <w:trPr>
          <w:trHeight w:val="255"/>
        </w:trPr>
        <w:tc>
          <w:tcPr>
            <w:tcW w:w="1061" w:type="pct"/>
            <w:tcBorders>
              <w:top w:val="nil"/>
              <w:left w:val="nil"/>
              <w:bottom w:val="nil"/>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rPr>
                <w:rFonts w:cs="Arial"/>
                <w:b/>
                <w:bCs/>
                <w:sz w:val="18"/>
                <w:szCs w:val="18"/>
              </w:rPr>
            </w:pPr>
            <w:r w:rsidRPr="006D2D0A">
              <w:rPr>
                <w:rFonts w:cs="Arial"/>
                <w:b/>
                <w:bCs/>
                <w:sz w:val="18"/>
                <w:szCs w:val="18"/>
              </w:rPr>
              <w:t xml:space="preserve">Balance as at </w:t>
            </w:r>
            <w:r w:rsidR="00EB02DA">
              <w:rPr>
                <w:rFonts w:cs="Arial"/>
                <w:b/>
                <w:bCs/>
                <w:sz w:val="18"/>
                <w:szCs w:val="18"/>
              </w:rPr>
              <w:br/>
            </w:r>
            <w:r w:rsidRPr="006D2D0A">
              <w:rPr>
                <w:rFonts w:cs="Arial"/>
                <w:b/>
                <w:bCs/>
                <w:sz w:val="18"/>
                <w:szCs w:val="18"/>
              </w:rPr>
              <w:t>31 August 2012</w:t>
            </w:r>
          </w:p>
        </w:tc>
        <w:tc>
          <w:tcPr>
            <w:tcW w:w="788" w:type="pct"/>
            <w:tcBorders>
              <w:top w:val="single" w:sz="4" w:space="0" w:color="auto"/>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477</w:t>
            </w:r>
          </w:p>
        </w:tc>
        <w:tc>
          <w:tcPr>
            <w:tcW w:w="788" w:type="pct"/>
            <w:tcBorders>
              <w:top w:val="single" w:sz="4" w:space="0" w:color="auto"/>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20,752</w:t>
            </w:r>
          </w:p>
        </w:tc>
        <w:tc>
          <w:tcPr>
            <w:tcW w:w="788" w:type="pct"/>
            <w:tcBorders>
              <w:top w:val="single" w:sz="4" w:space="0" w:color="auto"/>
              <w:left w:val="nil"/>
              <w:bottom w:val="single" w:sz="4" w:space="0" w:color="auto"/>
              <w:right w:val="nil"/>
            </w:tcBorders>
            <w:vAlign w:val="bottom"/>
          </w:tcPr>
          <w:p w:rsidR="006E2DC2" w:rsidRPr="006D2D0A" w:rsidRDefault="006E2DC2"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26,231</w:t>
            </w:r>
          </w:p>
        </w:tc>
        <w:tc>
          <w:tcPr>
            <w:tcW w:w="788" w:type="pct"/>
            <w:tcBorders>
              <w:top w:val="single" w:sz="4" w:space="0" w:color="auto"/>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(26,287)</w:t>
            </w:r>
          </w:p>
        </w:tc>
        <w:tc>
          <w:tcPr>
            <w:tcW w:w="787" w:type="pct"/>
            <w:tcBorders>
              <w:top w:val="single" w:sz="4" w:space="0" w:color="auto"/>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Cs/>
                <w:sz w:val="18"/>
                <w:szCs w:val="18"/>
              </w:rPr>
            </w:pPr>
            <w:r w:rsidRPr="006D2D0A">
              <w:rPr>
                <w:rFonts w:cs="Arial"/>
                <w:bCs/>
                <w:sz w:val="18"/>
                <w:szCs w:val="18"/>
              </w:rPr>
              <w:t>21,173</w:t>
            </w:r>
          </w:p>
        </w:tc>
      </w:tr>
      <w:tr w:rsidR="006D2D0A" w:rsidRPr="00A76890" w:rsidTr="00562F9C">
        <w:trPr>
          <w:trHeight w:val="255"/>
        </w:trPr>
        <w:tc>
          <w:tcPr>
            <w:tcW w:w="1061" w:type="pct"/>
            <w:tcBorders>
              <w:top w:val="nil"/>
              <w:left w:val="nil"/>
              <w:bottom w:val="nil"/>
              <w:right w:val="nil"/>
            </w:tcBorders>
            <w:shd w:val="clear" w:color="auto" w:fill="auto"/>
            <w:noWrap/>
            <w:vAlign w:val="bottom"/>
          </w:tcPr>
          <w:p w:rsidR="006D2D0A" w:rsidRPr="006D2D0A" w:rsidRDefault="006D2D0A" w:rsidP="00704CC0">
            <w:pPr>
              <w:keepNext/>
              <w:keepLines/>
              <w:tabs>
                <w:tab w:val="left" w:pos="567"/>
                <w:tab w:val="left" w:pos="1134"/>
                <w:tab w:val="left" w:pos="1701"/>
                <w:tab w:val="left" w:pos="2268"/>
              </w:tabs>
              <w:rPr>
                <w:rFonts w:cs="Arial"/>
                <w:b/>
                <w:sz w:val="18"/>
                <w:szCs w:val="18"/>
              </w:rPr>
            </w:pPr>
          </w:p>
        </w:tc>
        <w:tc>
          <w:tcPr>
            <w:tcW w:w="788" w:type="pct"/>
            <w:tcBorders>
              <w:top w:val="nil"/>
              <w:left w:val="nil"/>
              <w:bottom w:val="single" w:sz="4" w:space="0" w:color="auto"/>
              <w:right w:val="nil"/>
            </w:tcBorders>
            <w:shd w:val="clear" w:color="auto" w:fill="auto"/>
            <w:noWrap/>
            <w:vAlign w:val="bottom"/>
          </w:tcPr>
          <w:p w:rsidR="006D2D0A" w:rsidRPr="006D2D0A" w:rsidRDefault="006D2D0A" w:rsidP="00704CC0">
            <w:pPr>
              <w:keepNext/>
              <w:keepLines/>
              <w:tabs>
                <w:tab w:val="left" w:pos="567"/>
                <w:tab w:val="left" w:pos="1134"/>
                <w:tab w:val="left" w:pos="1701"/>
                <w:tab w:val="left" w:pos="2268"/>
              </w:tabs>
              <w:jc w:val="right"/>
              <w:rPr>
                <w:rFonts w:cs="Arial"/>
                <w:b/>
                <w:bCs/>
                <w:sz w:val="18"/>
                <w:szCs w:val="18"/>
              </w:rPr>
            </w:pPr>
          </w:p>
        </w:tc>
        <w:tc>
          <w:tcPr>
            <w:tcW w:w="788" w:type="pct"/>
            <w:tcBorders>
              <w:top w:val="nil"/>
              <w:left w:val="nil"/>
              <w:bottom w:val="single" w:sz="4" w:space="0" w:color="auto"/>
              <w:right w:val="nil"/>
            </w:tcBorders>
            <w:shd w:val="clear" w:color="auto" w:fill="auto"/>
            <w:noWrap/>
            <w:vAlign w:val="bottom"/>
          </w:tcPr>
          <w:p w:rsidR="006D2D0A" w:rsidRPr="006D2D0A" w:rsidRDefault="006D2D0A" w:rsidP="00704CC0">
            <w:pPr>
              <w:keepNext/>
              <w:keepLines/>
              <w:tabs>
                <w:tab w:val="left" w:pos="567"/>
                <w:tab w:val="left" w:pos="1134"/>
                <w:tab w:val="left" w:pos="1701"/>
                <w:tab w:val="left" w:pos="2268"/>
              </w:tabs>
              <w:jc w:val="right"/>
              <w:rPr>
                <w:rFonts w:cs="Arial"/>
                <w:b/>
                <w:bCs/>
                <w:sz w:val="18"/>
                <w:szCs w:val="18"/>
              </w:rPr>
            </w:pPr>
          </w:p>
        </w:tc>
        <w:tc>
          <w:tcPr>
            <w:tcW w:w="788" w:type="pct"/>
            <w:tcBorders>
              <w:top w:val="nil"/>
              <w:left w:val="nil"/>
              <w:bottom w:val="single" w:sz="4" w:space="0" w:color="auto"/>
              <w:right w:val="nil"/>
            </w:tcBorders>
            <w:vAlign w:val="bottom"/>
          </w:tcPr>
          <w:p w:rsidR="006D2D0A" w:rsidRPr="006D2D0A" w:rsidRDefault="006D2D0A" w:rsidP="00704CC0">
            <w:pPr>
              <w:keepNext/>
              <w:keepLines/>
              <w:tabs>
                <w:tab w:val="left" w:pos="567"/>
                <w:tab w:val="left" w:pos="1134"/>
                <w:tab w:val="left" w:pos="1701"/>
                <w:tab w:val="left" w:pos="2268"/>
              </w:tabs>
              <w:jc w:val="right"/>
              <w:rPr>
                <w:rFonts w:cs="Arial"/>
                <w:b/>
                <w:bCs/>
                <w:sz w:val="18"/>
                <w:szCs w:val="18"/>
              </w:rPr>
            </w:pPr>
          </w:p>
        </w:tc>
        <w:tc>
          <w:tcPr>
            <w:tcW w:w="788" w:type="pct"/>
            <w:tcBorders>
              <w:top w:val="nil"/>
              <w:left w:val="nil"/>
              <w:bottom w:val="single" w:sz="4" w:space="0" w:color="auto"/>
              <w:right w:val="nil"/>
            </w:tcBorders>
            <w:shd w:val="clear" w:color="auto" w:fill="auto"/>
            <w:noWrap/>
            <w:vAlign w:val="bottom"/>
          </w:tcPr>
          <w:p w:rsidR="006D2D0A" w:rsidRPr="006D2D0A" w:rsidRDefault="006D2D0A" w:rsidP="00704CC0">
            <w:pPr>
              <w:keepNext/>
              <w:keepLines/>
              <w:tabs>
                <w:tab w:val="left" w:pos="567"/>
                <w:tab w:val="left" w:pos="1134"/>
                <w:tab w:val="left" w:pos="1701"/>
                <w:tab w:val="left" w:pos="2268"/>
              </w:tabs>
              <w:jc w:val="right"/>
              <w:rPr>
                <w:rFonts w:cs="Arial"/>
                <w:b/>
                <w:bCs/>
                <w:sz w:val="18"/>
                <w:szCs w:val="18"/>
              </w:rPr>
            </w:pPr>
          </w:p>
        </w:tc>
        <w:tc>
          <w:tcPr>
            <w:tcW w:w="787" w:type="pct"/>
            <w:tcBorders>
              <w:top w:val="nil"/>
              <w:left w:val="nil"/>
              <w:bottom w:val="single" w:sz="4" w:space="0" w:color="auto"/>
              <w:right w:val="nil"/>
            </w:tcBorders>
            <w:shd w:val="clear" w:color="auto" w:fill="auto"/>
            <w:noWrap/>
            <w:vAlign w:val="bottom"/>
          </w:tcPr>
          <w:p w:rsidR="006D2D0A" w:rsidRPr="006D2D0A" w:rsidRDefault="006D2D0A" w:rsidP="00704CC0">
            <w:pPr>
              <w:keepNext/>
              <w:keepLines/>
              <w:tabs>
                <w:tab w:val="left" w:pos="567"/>
                <w:tab w:val="left" w:pos="1134"/>
                <w:tab w:val="left" w:pos="1701"/>
                <w:tab w:val="left" w:pos="2268"/>
              </w:tabs>
              <w:jc w:val="right"/>
              <w:rPr>
                <w:rFonts w:cs="Arial"/>
                <w:b/>
                <w:bCs/>
                <w:sz w:val="18"/>
                <w:szCs w:val="18"/>
              </w:rPr>
            </w:pPr>
          </w:p>
        </w:tc>
      </w:tr>
      <w:tr w:rsidR="006E2DC2" w:rsidRPr="00A76890" w:rsidTr="00562F9C">
        <w:trPr>
          <w:trHeight w:val="255"/>
        </w:trPr>
        <w:tc>
          <w:tcPr>
            <w:tcW w:w="1061" w:type="pct"/>
            <w:tcBorders>
              <w:top w:val="nil"/>
              <w:left w:val="nil"/>
              <w:bottom w:val="nil"/>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rPr>
                <w:rFonts w:cs="Arial"/>
                <w:b/>
                <w:sz w:val="18"/>
                <w:szCs w:val="18"/>
              </w:rPr>
            </w:pPr>
            <w:r w:rsidRPr="006D2D0A">
              <w:rPr>
                <w:rFonts w:cs="Arial"/>
                <w:b/>
                <w:sz w:val="18"/>
                <w:szCs w:val="18"/>
              </w:rPr>
              <w:t xml:space="preserve">Balance as at </w:t>
            </w:r>
            <w:r w:rsidR="00EB02DA">
              <w:rPr>
                <w:rFonts w:cs="Arial"/>
                <w:b/>
                <w:sz w:val="18"/>
                <w:szCs w:val="18"/>
              </w:rPr>
              <w:br/>
            </w:r>
            <w:r w:rsidRPr="006D2D0A">
              <w:rPr>
                <w:rFonts w:cs="Arial"/>
                <w:b/>
                <w:sz w:val="18"/>
                <w:szCs w:val="18"/>
              </w:rPr>
              <w:t>1 September 2012</w:t>
            </w:r>
          </w:p>
        </w:tc>
        <w:tc>
          <w:tcPr>
            <w:tcW w:w="788" w:type="pct"/>
            <w:tcBorders>
              <w:top w:val="nil"/>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477</w:t>
            </w:r>
          </w:p>
        </w:tc>
        <w:tc>
          <w:tcPr>
            <w:tcW w:w="788" w:type="pct"/>
            <w:tcBorders>
              <w:top w:val="nil"/>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20,752</w:t>
            </w:r>
          </w:p>
        </w:tc>
        <w:tc>
          <w:tcPr>
            <w:tcW w:w="788" w:type="pct"/>
            <w:tcBorders>
              <w:top w:val="nil"/>
              <w:left w:val="nil"/>
              <w:bottom w:val="single" w:sz="4" w:space="0" w:color="auto"/>
              <w:right w:val="nil"/>
            </w:tcBorders>
            <w:vAlign w:val="bottom"/>
          </w:tcPr>
          <w:p w:rsidR="006E2DC2" w:rsidRPr="006D2D0A" w:rsidRDefault="006E2DC2"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26,231</w:t>
            </w:r>
          </w:p>
        </w:tc>
        <w:tc>
          <w:tcPr>
            <w:tcW w:w="788" w:type="pct"/>
            <w:tcBorders>
              <w:top w:val="nil"/>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(26,287)</w:t>
            </w:r>
          </w:p>
        </w:tc>
        <w:tc>
          <w:tcPr>
            <w:tcW w:w="787" w:type="pct"/>
            <w:tcBorders>
              <w:top w:val="nil"/>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21,173</w:t>
            </w:r>
          </w:p>
        </w:tc>
      </w:tr>
      <w:tr w:rsidR="006E2DC2" w:rsidRPr="00A76890" w:rsidTr="00562F9C">
        <w:trPr>
          <w:trHeight w:val="255"/>
        </w:trPr>
        <w:tc>
          <w:tcPr>
            <w:tcW w:w="1061" w:type="pct"/>
            <w:tcBorders>
              <w:top w:val="nil"/>
              <w:left w:val="nil"/>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rPr>
                <w:rFonts w:cs="Arial"/>
                <w:sz w:val="18"/>
                <w:szCs w:val="18"/>
              </w:rPr>
            </w:pPr>
            <w:r w:rsidRPr="006D2D0A">
              <w:rPr>
                <w:rFonts w:cs="Arial"/>
                <w:sz w:val="18"/>
                <w:szCs w:val="18"/>
              </w:rPr>
              <w:t xml:space="preserve">Shares bought back </w:t>
            </w:r>
          </w:p>
        </w:tc>
        <w:tc>
          <w:tcPr>
            <w:tcW w:w="788" w:type="pct"/>
            <w:tcBorders>
              <w:top w:val="single" w:sz="4" w:space="0" w:color="auto"/>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
                <w:sz w:val="18"/>
                <w:szCs w:val="18"/>
              </w:rPr>
            </w:pPr>
            <w:r w:rsidRPr="006D2D0A">
              <w:rPr>
                <w:rFonts w:cs="Arial"/>
                <w:b/>
                <w:sz w:val="18"/>
                <w:szCs w:val="18"/>
              </w:rPr>
              <w:t>(231)</w:t>
            </w:r>
          </w:p>
        </w:tc>
        <w:tc>
          <w:tcPr>
            <w:tcW w:w="788" w:type="pct"/>
            <w:tcBorders>
              <w:top w:val="single" w:sz="4" w:space="0" w:color="auto"/>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
                <w:sz w:val="18"/>
                <w:szCs w:val="18"/>
              </w:rPr>
            </w:pPr>
            <w:r w:rsidRPr="006D2D0A">
              <w:rPr>
                <w:rFonts w:cs="Arial"/>
                <w:b/>
                <w:sz w:val="18"/>
                <w:szCs w:val="18"/>
              </w:rPr>
              <w:t>-</w:t>
            </w:r>
          </w:p>
        </w:tc>
        <w:tc>
          <w:tcPr>
            <w:tcW w:w="788" w:type="pct"/>
            <w:tcBorders>
              <w:top w:val="single" w:sz="4" w:space="0" w:color="auto"/>
              <w:left w:val="nil"/>
              <w:bottom w:val="single" w:sz="4" w:space="0" w:color="auto"/>
              <w:right w:val="nil"/>
            </w:tcBorders>
            <w:vAlign w:val="bottom"/>
          </w:tcPr>
          <w:p w:rsidR="006E2DC2" w:rsidRPr="006D2D0A" w:rsidRDefault="006E2DC2" w:rsidP="00704CC0">
            <w:pPr>
              <w:keepNext/>
              <w:keepLines/>
              <w:tabs>
                <w:tab w:val="left" w:pos="567"/>
                <w:tab w:val="left" w:pos="1134"/>
                <w:tab w:val="left" w:pos="1701"/>
                <w:tab w:val="left" w:pos="2268"/>
              </w:tabs>
              <w:jc w:val="right"/>
              <w:rPr>
                <w:rFonts w:cs="Arial"/>
                <w:b/>
                <w:sz w:val="18"/>
                <w:szCs w:val="18"/>
              </w:rPr>
            </w:pPr>
            <w:r w:rsidRPr="006D2D0A">
              <w:rPr>
                <w:rFonts w:cs="Arial"/>
                <w:b/>
                <w:sz w:val="18"/>
                <w:szCs w:val="18"/>
              </w:rPr>
              <w:t>(8,769)</w:t>
            </w:r>
          </w:p>
        </w:tc>
        <w:tc>
          <w:tcPr>
            <w:tcW w:w="788" w:type="pct"/>
            <w:tcBorders>
              <w:top w:val="single" w:sz="4" w:space="0" w:color="auto"/>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
                <w:sz w:val="18"/>
                <w:szCs w:val="18"/>
              </w:rPr>
            </w:pPr>
            <w:r w:rsidRPr="006D2D0A">
              <w:rPr>
                <w:rFonts w:cs="Arial"/>
                <w:b/>
                <w:sz w:val="18"/>
                <w:szCs w:val="18"/>
              </w:rPr>
              <w:t>-</w:t>
            </w:r>
          </w:p>
        </w:tc>
        <w:tc>
          <w:tcPr>
            <w:tcW w:w="787" w:type="pct"/>
            <w:tcBorders>
              <w:top w:val="single" w:sz="4" w:space="0" w:color="auto"/>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
                <w:sz w:val="18"/>
                <w:szCs w:val="18"/>
              </w:rPr>
            </w:pPr>
            <w:r w:rsidRPr="006D2D0A">
              <w:rPr>
                <w:rFonts w:cs="Arial"/>
                <w:b/>
                <w:sz w:val="18"/>
                <w:szCs w:val="18"/>
              </w:rPr>
              <w:t>(9,000)</w:t>
            </w:r>
          </w:p>
        </w:tc>
      </w:tr>
      <w:tr w:rsidR="006E2DC2" w:rsidRPr="00A76890" w:rsidTr="00562F9C">
        <w:trPr>
          <w:trHeight w:val="255"/>
        </w:trPr>
        <w:tc>
          <w:tcPr>
            <w:tcW w:w="1061" w:type="pct"/>
            <w:tcBorders>
              <w:left w:val="nil"/>
              <w:right w:val="nil"/>
            </w:tcBorders>
            <w:shd w:val="clear" w:color="auto" w:fill="auto"/>
            <w:noWrap/>
            <w:vAlign w:val="bottom"/>
          </w:tcPr>
          <w:p w:rsidR="006E2DC2" w:rsidRPr="006D2D0A" w:rsidDel="00AA543B" w:rsidRDefault="006E2DC2" w:rsidP="00704CC0">
            <w:pPr>
              <w:keepNext/>
              <w:keepLines/>
              <w:tabs>
                <w:tab w:val="left" w:pos="567"/>
                <w:tab w:val="left" w:pos="1134"/>
                <w:tab w:val="left" w:pos="1701"/>
                <w:tab w:val="left" w:pos="2268"/>
              </w:tabs>
              <w:rPr>
                <w:rFonts w:cs="Arial"/>
                <w:i/>
                <w:sz w:val="18"/>
                <w:szCs w:val="18"/>
              </w:rPr>
            </w:pPr>
            <w:r w:rsidRPr="006D2D0A">
              <w:rPr>
                <w:rFonts w:cs="Arial"/>
                <w:i/>
                <w:sz w:val="18"/>
                <w:szCs w:val="18"/>
              </w:rPr>
              <w:t>Transaction</w:t>
            </w:r>
            <w:r w:rsidR="00A62E10" w:rsidRPr="006D2D0A">
              <w:rPr>
                <w:rFonts w:cs="Arial"/>
                <w:i/>
                <w:sz w:val="18"/>
                <w:szCs w:val="18"/>
              </w:rPr>
              <w:t>s</w:t>
            </w:r>
            <w:r w:rsidRPr="006D2D0A">
              <w:rPr>
                <w:rFonts w:cs="Arial"/>
                <w:i/>
                <w:sz w:val="18"/>
                <w:szCs w:val="18"/>
              </w:rPr>
              <w:t xml:space="preserve"> with the owner</w:t>
            </w:r>
            <w:r w:rsidR="00A62E10" w:rsidRPr="006D2D0A">
              <w:rPr>
                <w:rFonts w:cs="Arial"/>
                <w:i/>
                <w:sz w:val="18"/>
                <w:szCs w:val="18"/>
              </w:rPr>
              <w:t>s</w:t>
            </w:r>
          </w:p>
        </w:tc>
        <w:tc>
          <w:tcPr>
            <w:tcW w:w="788" w:type="pct"/>
            <w:tcBorders>
              <w:top w:val="single" w:sz="4" w:space="0" w:color="auto"/>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
                <w:sz w:val="18"/>
                <w:szCs w:val="18"/>
              </w:rPr>
            </w:pPr>
            <w:r w:rsidRPr="006D2D0A">
              <w:rPr>
                <w:rFonts w:cs="Arial"/>
                <w:b/>
                <w:sz w:val="18"/>
                <w:szCs w:val="18"/>
              </w:rPr>
              <w:t>(231)</w:t>
            </w:r>
          </w:p>
        </w:tc>
        <w:tc>
          <w:tcPr>
            <w:tcW w:w="788" w:type="pct"/>
            <w:tcBorders>
              <w:top w:val="single" w:sz="4" w:space="0" w:color="auto"/>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
                <w:sz w:val="18"/>
                <w:szCs w:val="18"/>
              </w:rPr>
            </w:pPr>
            <w:r w:rsidRPr="006D2D0A">
              <w:rPr>
                <w:rFonts w:cs="Arial"/>
                <w:b/>
                <w:sz w:val="18"/>
                <w:szCs w:val="18"/>
              </w:rPr>
              <w:t>-</w:t>
            </w:r>
          </w:p>
        </w:tc>
        <w:tc>
          <w:tcPr>
            <w:tcW w:w="788" w:type="pct"/>
            <w:tcBorders>
              <w:top w:val="single" w:sz="4" w:space="0" w:color="auto"/>
              <w:left w:val="nil"/>
              <w:bottom w:val="single" w:sz="4" w:space="0" w:color="auto"/>
              <w:right w:val="nil"/>
            </w:tcBorders>
            <w:vAlign w:val="bottom"/>
          </w:tcPr>
          <w:p w:rsidR="006E2DC2" w:rsidRPr="006D2D0A" w:rsidRDefault="006E2DC2" w:rsidP="00704CC0">
            <w:pPr>
              <w:keepNext/>
              <w:keepLines/>
              <w:tabs>
                <w:tab w:val="left" w:pos="567"/>
                <w:tab w:val="left" w:pos="1134"/>
                <w:tab w:val="left" w:pos="1701"/>
                <w:tab w:val="left" w:pos="2268"/>
              </w:tabs>
              <w:jc w:val="right"/>
              <w:rPr>
                <w:rFonts w:cs="Arial"/>
                <w:b/>
                <w:sz w:val="18"/>
                <w:szCs w:val="18"/>
              </w:rPr>
            </w:pPr>
            <w:r w:rsidRPr="006D2D0A">
              <w:rPr>
                <w:rFonts w:cs="Arial"/>
                <w:b/>
                <w:sz w:val="18"/>
                <w:szCs w:val="18"/>
              </w:rPr>
              <w:t>(8,769)</w:t>
            </w:r>
          </w:p>
        </w:tc>
        <w:tc>
          <w:tcPr>
            <w:tcW w:w="788" w:type="pct"/>
            <w:tcBorders>
              <w:top w:val="single" w:sz="4" w:space="0" w:color="auto"/>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
                <w:sz w:val="18"/>
                <w:szCs w:val="18"/>
              </w:rPr>
            </w:pPr>
            <w:r w:rsidRPr="006D2D0A">
              <w:rPr>
                <w:rFonts w:cs="Arial"/>
                <w:b/>
                <w:sz w:val="18"/>
                <w:szCs w:val="18"/>
              </w:rPr>
              <w:t>-</w:t>
            </w:r>
          </w:p>
        </w:tc>
        <w:tc>
          <w:tcPr>
            <w:tcW w:w="787" w:type="pct"/>
            <w:tcBorders>
              <w:top w:val="single" w:sz="4" w:space="0" w:color="auto"/>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
                <w:sz w:val="18"/>
                <w:szCs w:val="18"/>
              </w:rPr>
            </w:pPr>
            <w:r w:rsidRPr="006D2D0A">
              <w:rPr>
                <w:rFonts w:cs="Arial"/>
                <w:b/>
                <w:sz w:val="18"/>
                <w:szCs w:val="18"/>
              </w:rPr>
              <w:t>(9,000)</w:t>
            </w:r>
          </w:p>
        </w:tc>
      </w:tr>
      <w:tr w:rsidR="006E2DC2" w:rsidRPr="00A76890" w:rsidTr="00562F9C">
        <w:trPr>
          <w:trHeight w:val="255"/>
        </w:trPr>
        <w:tc>
          <w:tcPr>
            <w:tcW w:w="1061" w:type="pct"/>
            <w:tcBorders>
              <w:left w:val="nil"/>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rPr>
                <w:rFonts w:cs="Arial"/>
                <w:bCs/>
                <w:sz w:val="18"/>
                <w:szCs w:val="18"/>
              </w:rPr>
            </w:pPr>
            <w:r w:rsidRPr="006D2D0A">
              <w:rPr>
                <w:rFonts w:cs="Arial"/>
                <w:bCs/>
                <w:sz w:val="18"/>
                <w:szCs w:val="18"/>
              </w:rPr>
              <w:t>Loss for the year</w:t>
            </w:r>
          </w:p>
        </w:tc>
        <w:tc>
          <w:tcPr>
            <w:tcW w:w="788" w:type="pct"/>
            <w:tcBorders>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w:t>
            </w:r>
          </w:p>
        </w:tc>
        <w:tc>
          <w:tcPr>
            <w:tcW w:w="788" w:type="pct"/>
            <w:tcBorders>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w:t>
            </w:r>
          </w:p>
        </w:tc>
        <w:tc>
          <w:tcPr>
            <w:tcW w:w="788" w:type="pct"/>
            <w:tcBorders>
              <w:left w:val="nil"/>
              <w:bottom w:val="single" w:sz="4" w:space="0" w:color="auto"/>
              <w:right w:val="nil"/>
            </w:tcBorders>
            <w:vAlign w:val="bottom"/>
          </w:tcPr>
          <w:p w:rsidR="006E2DC2" w:rsidRPr="006D2D0A" w:rsidRDefault="006E2DC2"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w:t>
            </w:r>
          </w:p>
        </w:tc>
        <w:tc>
          <w:tcPr>
            <w:tcW w:w="788" w:type="pct"/>
            <w:tcBorders>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(4,0</w:t>
            </w:r>
            <w:r w:rsidR="00F81E40" w:rsidRPr="006D2D0A">
              <w:rPr>
                <w:rFonts w:cs="Arial"/>
                <w:b/>
                <w:bCs/>
                <w:sz w:val="18"/>
                <w:szCs w:val="18"/>
              </w:rPr>
              <w:t>5</w:t>
            </w:r>
            <w:r w:rsidR="00E616FD" w:rsidRPr="006D2D0A">
              <w:rPr>
                <w:rFonts w:cs="Arial"/>
                <w:b/>
                <w:bCs/>
                <w:sz w:val="18"/>
                <w:szCs w:val="18"/>
              </w:rPr>
              <w:t>2</w:t>
            </w:r>
            <w:r w:rsidRPr="006D2D0A">
              <w:rPr>
                <w:rFonts w:cs="Arial"/>
                <w:b/>
                <w:bCs/>
                <w:sz w:val="18"/>
                <w:szCs w:val="18"/>
              </w:rPr>
              <w:t>)</w:t>
            </w:r>
          </w:p>
        </w:tc>
        <w:tc>
          <w:tcPr>
            <w:tcW w:w="787" w:type="pct"/>
            <w:tcBorders>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(4,0</w:t>
            </w:r>
            <w:r w:rsidR="00AA4E53" w:rsidRPr="006D2D0A">
              <w:rPr>
                <w:rFonts w:cs="Arial"/>
                <w:b/>
                <w:bCs/>
                <w:sz w:val="18"/>
                <w:szCs w:val="18"/>
              </w:rPr>
              <w:t>5</w:t>
            </w:r>
            <w:r w:rsidR="00E616FD" w:rsidRPr="006D2D0A">
              <w:rPr>
                <w:rFonts w:cs="Arial"/>
                <w:b/>
                <w:bCs/>
                <w:sz w:val="18"/>
                <w:szCs w:val="18"/>
              </w:rPr>
              <w:t>2</w:t>
            </w:r>
            <w:r w:rsidRPr="006D2D0A">
              <w:rPr>
                <w:rFonts w:cs="Arial"/>
                <w:b/>
                <w:bCs/>
                <w:sz w:val="18"/>
                <w:szCs w:val="18"/>
              </w:rPr>
              <w:t>)</w:t>
            </w:r>
          </w:p>
        </w:tc>
      </w:tr>
      <w:tr w:rsidR="006E2DC2" w:rsidRPr="00A76890" w:rsidTr="00562F9C">
        <w:trPr>
          <w:trHeight w:val="255"/>
        </w:trPr>
        <w:tc>
          <w:tcPr>
            <w:tcW w:w="1061" w:type="pct"/>
            <w:tcBorders>
              <w:left w:val="nil"/>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rPr>
                <w:rFonts w:cs="Arial"/>
                <w:bCs/>
                <w:sz w:val="18"/>
                <w:szCs w:val="18"/>
              </w:rPr>
            </w:pPr>
            <w:r w:rsidRPr="006D2D0A">
              <w:rPr>
                <w:rFonts w:cs="Arial"/>
                <w:i/>
                <w:sz w:val="18"/>
                <w:szCs w:val="18"/>
              </w:rPr>
              <w:t xml:space="preserve">Total comprehensive loss for the year </w:t>
            </w:r>
          </w:p>
        </w:tc>
        <w:tc>
          <w:tcPr>
            <w:tcW w:w="788" w:type="pct"/>
            <w:tcBorders>
              <w:top w:val="single" w:sz="4" w:space="0" w:color="auto"/>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w:t>
            </w:r>
          </w:p>
        </w:tc>
        <w:tc>
          <w:tcPr>
            <w:tcW w:w="788" w:type="pct"/>
            <w:tcBorders>
              <w:top w:val="single" w:sz="4" w:space="0" w:color="auto"/>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w:t>
            </w:r>
          </w:p>
        </w:tc>
        <w:tc>
          <w:tcPr>
            <w:tcW w:w="788" w:type="pct"/>
            <w:tcBorders>
              <w:top w:val="single" w:sz="4" w:space="0" w:color="auto"/>
              <w:left w:val="nil"/>
              <w:bottom w:val="single" w:sz="4" w:space="0" w:color="auto"/>
              <w:right w:val="nil"/>
            </w:tcBorders>
            <w:vAlign w:val="bottom"/>
          </w:tcPr>
          <w:p w:rsidR="006E2DC2" w:rsidRPr="006D2D0A" w:rsidRDefault="006E2DC2"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w:t>
            </w:r>
          </w:p>
        </w:tc>
        <w:tc>
          <w:tcPr>
            <w:tcW w:w="788" w:type="pct"/>
            <w:tcBorders>
              <w:top w:val="single" w:sz="4" w:space="0" w:color="auto"/>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(4,0</w:t>
            </w:r>
            <w:r w:rsidR="00F81E40" w:rsidRPr="006D2D0A">
              <w:rPr>
                <w:rFonts w:cs="Arial"/>
                <w:b/>
                <w:bCs/>
                <w:sz w:val="18"/>
                <w:szCs w:val="18"/>
              </w:rPr>
              <w:t>5</w:t>
            </w:r>
            <w:r w:rsidR="00E616FD" w:rsidRPr="006D2D0A">
              <w:rPr>
                <w:rFonts w:cs="Arial"/>
                <w:b/>
                <w:bCs/>
                <w:sz w:val="18"/>
                <w:szCs w:val="18"/>
              </w:rPr>
              <w:t>2</w:t>
            </w:r>
            <w:r w:rsidRPr="006D2D0A">
              <w:rPr>
                <w:rFonts w:cs="Arial"/>
                <w:b/>
                <w:bCs/>
                <w:sz w:val="18"/>
                <w:szCs w:val="18"/>
              </w:rPr>
              <w:t>)</w:t>
            </w:r>
          </w:p>
        </w:tc>
        <w:tc>
          <w:tcPr>
            <w:tcW w:w="787" w:type="pct"/>
            <w:tcBorders>
              <w:top w:val="single" w:sz="4" w:space="0" w:color="auto"/>
              <w:left w:val="nil"/>
              <w:bottom w:val="single" w:sz="4" w:space="0" w:color="auto"/>
              <w:right w:val="nil"/>
            </w:tcBorders>
            <w:shd w:val="clear" w:color="auto" w:fill="auto"/>
            <w:noWrap/>
            <w:vAlign w:val="bottom"/>
          </w:tcPr>
          <w:p w:rsidR="006E2DC2" w:rsidRPr="006D2D0A" w:rsidRDefault="006E2DC2" w:rsidP="00704CC0">
            <w:pPr>
              <w:keepNext/>
              <w:keepLines/>
              <w:tabs>
                <w:tab w:val="left" w:pos="567"/>
                <w:tab w:val="left" w:pos="1134"/>
                <w:tab w:val="left" w:pos="1701"/>
                <w:tab w:val="left" w:pos="2268"/>
              </w:tabs>
              <w:jc w:val="right"/>
              <w:rPr>
                <w:rFonts w:cs="Arial"/>
                <w:b/>
                <w:bCs/>
                <w:sz w:val="18"/>
                <w:szCs w:val="18"/>
              </w:rPr>
            </w:pPr>
            <w:r w:rsidRPr="006D2D0A">
              <w:rPr>
                <w:rFonts w:cs="Arial"/>
                <w:b/>
                <w:bCs/>
                <w:sz w:val="18"/>
                <w:szCs w:val="18"/>
              </w:rPr>
              <w:t>(4,0</w:t>
            </w:r>
            <w:r w:rsidR="00AA4E53" w:rsidRPr="006D2D0A">
              <w:rPr>
                <w:rFonts w:cs="Arial"/>
                <w:b/>
                <w:bCs/>
                <w:sz w:val="18"/>
                <w:szCs w:val="18"/>
              </w:rPr>
              <w:t>5</w:t>
            </w:r>
            <w:r w:rsidR="00E616FD" w:rsidRPr="006D2D0A">
              <w:rPr>
                <w:rFonts w:cs="Arial"/>
                <w:b/>
                <w:bCs/>
                <w:sz w:val="18"/>
                <w:szCs w:val="18"/>
              </w:rPr>
              <w:t>2</w:t>
            </w:r>
            <w:r w:rsidRPr="006D2D0A">
              <w:rPr>
                <w:rFonts w:cs="Arial"/>
                <w:b/>
                <w:bCs/>
                <w:sz w:val="18"/>
                <w:szCs w:val="18"/>
              </w:rPr>
              <w:t>)</w:t>
            </w:r>
          </w:p>
        </w:tc>
      </w:tr>
      <w:tr w:rsidR="006E2DC2" w:rsidRPr="00A76890" w:rsidTr="00562F9C">
        <w:trPr>
          <w:trHeight w:val="255"/>
        </w:trPr>
        <w:tc>
          <w:tcPr>
            <w:tcW w:w="1061" w:type="pct"/>
            <w:tcBorders>
              <w:left w:val="nil"/>
              <w:bottom w:val="nil"/>
              <w:right w:val="nil"/>
            </w:tcBorders>
            <w:shd w:val="clear" w:color="auto" w:fill="auto"/>
            <w:noWrap/>
            <w:vAlign w:val="bottom"/>
          </w:tcPr>
          <w:p w:rsidR="006E2DC2" w:rsidRPr="006D2D0A" w:rsidRDefault="006E2DC2" w:rsidP="00704CC0">
            <w:pPr>
              <w:tabs>
                <w:tab w:val="left" w:pos="567"/>
                <w:tab w:val="left" w:pos="1134"/>
                <w:tab w:val="left" w:pos="1701"/>
                <w:tab w:val="left" w:pos="2268"/>
              </w:tabs>
              <w:rPr>
                <w:rFonts w:cs="Arial"/>
                <w:b/>
                <w:bCs/>
                <w:sz w:val="18"/>
                <w:szCs w:val="18"/>
              </w:rPr>
            </w:pPr>
            <w:r w:rsidRPr="006D2D0A">
              <w:rPr>
                <w:rFonts w:cs="Arial"/>
                <w:b/>
                <w:bCs/>
                <w:sz w:val="18"/>
                <w:szCs w:val="18"/>
              </w:rPr>
              <w:t>Balance as at</w:t>
            </w:r>
            <w:r w:rsidR="006D2D0A">
              <w:rPr>
                <w:rFonts w:cs="Arial"/>
                <w:b/>
                <w:bCs/>
                <w:sz w:val="18"/>
                <w:szCs w:val="18"/>
              </w:rPr>
              <w:br/>
            </w:r>
            <w:r w:rsidRPr="006D2D0A">
              <w:rPr>
                <w:rFonts w:cs="Arial"/>
                <w:b/>
                <w:bCs/>
                <w:sz w:val="18"/>
                <w:szCs w:val="18"/>
              </w:rPr>
              <w:t>31 August 2013</w:t>
            </w:r>
          </w:p>
        </w:tc>
        <w:tc>
          <w:tcPr>
            <w:tcW w:w="788" w:type="pct"/>
            <w:tcBorders>
              <w:top w:val="single" w:sz="4" w:space="0" w:color="auto"/>
              <w:left w:val="nil"/>
              <w:bottom w:val="single" w:sz="4" w:space="0" w:color="auto"/>
              <w:right w:val="nil"/>
            </w:tcBorders>
            <w:shd w:val="clear" w:color="auto" w:fill="auto"/>
            <w:noWrap/>
            <w:vAlign w:val="bottom"/>
          </w:tcPr>
          <w:p w:rsidR="006E2DC2" w:rsidRPr="006D2D0A" w:rsidRDefault="006E2DC2" w:rsidP="00704CC0">
            <w:pPr>
              <w:tabs>
                <w:tab w:val="left" w:pos="567"/>
                <w:tab w:val="left" w:pos="1134"/>
                <w:tab w:val="left" w:pos="1701"/>
                <w:tab w:val="left" w:pos="2268"/>
              </w:tabs>
              <w:jc w:val="right"/>
              <w:rPr>
                <w:rFonts w:cs="Arial"/>
                <w:b/>
                <w:bCs/>
                <w:sz w:val="18"/>
                <w:szCs w:val="18"/>
              </w:rPr>
            </w:pPr>
            <w:r w:rsidRPr="006D2D0A">
              <w:rPr>
                <w:rFonts w:cs="Arial"/>
                <w:b/>
                <w:bCs/>
                <w:sz w:val="18"/>
                <w:szCs w:val="18"/>
              </w:rPr>
              <w:t>246</w:t>
            </w:r>
          </w:p>
        </w:tc>
        <w:tc>
          <w:tcPr>
            <w:tcW w:w="788" w:type="pct"/>
            <w:tcBorders>
              <w:top w:val="single" w:sz="4" w:space="0" w:color="auto"/>
              <w:left w:val="nil"/>
              <w:bottom w:val="single" w:sz="4" w:space="0" w:color="auto"/>
              <w:right w:val="nil"/>
            </w:tcBorders>
            <w:shd w:val="clear" w:color="auto" w:fill="auto"/>
            <w:noWrap/>
            <w:vAlign w:val="bottom"/>
          </w:tcPr>
          <w:p w:rsidR="006E2DC2" w:rsidRPr="006D2D0A" w:rsidRDefault="006E2DC2" w:rsidP="00704CC0">
            <w:pPr>
              <w:tabs>
                <w:tab w:val="left" w:pos="567"/>
                <w:tab w:val="left" w:pos="1134"/>
                <w:tab w:val="left" w:pos="1701"/>
                <w:tab w:val="left" w:pos="2268"/>
              </w:tabs>
              <w:jc w:val="right"/>
              <w:rPr>
                <w:rFonts w:cs="Arial"/>
                <w:b/>
                <w:bCs/>
                <w:sz w:val="18"/>
                <w:szCs w:val="18"/>
              </w:rPr>
            </w:pPr>
            <w:r w:rsidRPr="006D2D0A">
              <w:rPr>
                <w:rFonts w:cs="Arial"/>
                <w:b/>
                <w:bCs/>
                <w:sz w:val="18"/>
                <w:szCs w:val="18"/>
              </w:rPr>
              <w:t>20,752</w:t>
            </w:r>
          </w:p>
        </w:tc>
        <w:tc>
          <w:tcPr>
            <w:tcW w:w="788" w:type="pct"/>
            <w:tcBorders>
              <w:top w:val="single" w:sz="4" w:space="0" w:color="auto"/>
              <w:left w:val="nil"/>
              <w:bottom w:val="single" w:sz="4" w:space="0" w:color="auto"/>
              <w:right w:val="nil"/>
            </w:tcBorders>
            <w:vAlign w:val="bottom"/>
          </w:tcPr>
          <w:p w:rsidR="006E2DC2" w:rsidRPr="006D2D0A" w:rsidRDefault="006E2DC2" w:rsidP="00704CC0">
            <w:pPr>
              <w:tabs>
                <w:tab w:val="left" w:pos="567"/>
                <w:tab w:val="left" w:pos="1134"/>
                <w:tab w:val="left" w:pos="1701"/>
                <w:tab w:val="left" w:pos="2268"/>
              </w:tabs>
              <w:jc w:val="right"/>
              <w:rPr>
                <w:rFonts w:cs="Arial"/>
                <w:b/>
                <w:bCs/>
                <w:sz w:val="18"/>
                <w:szCs w:val="18"/>
              </w:rPr>
            </w:pPr>
            <w:r w:rsidRPr="006D2D0A">
              <w:rPr>
                <w:rFonts w:cs="Arial"/>
                <w:b/>
                <w:bCs/>
                <w:sz w:val="18"/>
                <w:szCs w:val="18"/>
              </w:rPr>
              <w:t>17,462</w:t>
            </w:r>
          </w:p>
        </w:tc>
        <w:tc>
          <w:tcPr>
            <w:tcW w:w="788" w:type="pct"/>
            <w:tcBorders>
              <w:top w:val="single" w:sz="4" w:space="0" w:color="auto"/>
              <w:left w:val="nil"/>
              <w:bottom w:val="single" w:sz="4" w:space="0" w:color="auto"/>
              <w:right w:val="nil"/>
            </w:tcBorders>
            <w:shd w:val="clear" w:color="auto" w:fill="auto"/>
            <w:noWrap/>
            <w:vAlign w:val="bottom"/>
          </w:tcPr>
          <w:p w:rsidR="006E2DC2" w:rsidRPr="006D2D0A" w:rsidRDefault="006E2DC2" w:rsidP="00704CC0">
            <w:pPr>
              <w:tabs>
                <w:tab w:val="left" w:pos="567"/>
                <w:tab w:val="left" w:pos="1134"/>
                <w:tab w:val="left" w:pos="1701"/>
                <w:tab w:val="left" w:pos="2268"/>
              </w:tabs>
              <w:jc w:val="right"/>
              <w:rPr>
                <w:rFonts w:cs="Arial"/>
                <w:b/>
                <w:bCs/>
                <w:sz w:val="18"/>
                <w:szCs w:val="18"/>
              </w:rPr>
            </w:pPr>
            <w:r w:rsidRPr="006D2D0A">
              <w:rPr>
                <w:rFonts w:cs="Arial"/>
                <w:b/>
                <w:bCs/>
                <w:sz w:val="18"/>
                <w:szCs w:val="18"/>
              </w:rPr>
              <w:t>(30,3</w:t>
            </w:r>
            <w:r w:rsidR="00E616FD" w:rsidRPr="006D2D0A">
              <w:rPr>
                <w:rFonts w:cs="Arial"/>
                <w:b/>
                <w:bCs/>
                <w:sz w:val="18"/>
                <w:szCs w:val="18"/>
              </w:rPr>
              <w:t>39</w:t>
            </w:r>
            <w:r w:rsidRPr="006D2D0A">
              <w:rPr>
                <w:rFonts w:cs="Arial"/>
                <w:b/>
                <w:bCs/>
                <w:sz w:val="18"/>
                <w:szCs w:val="18"/>
              </w:rPr>
              <w:t>)</w:t>
            </w:r>
          </w:p>
        </w:tc>
        <w:tc>
          <w:tcPr>
            <w:tcW w:w="787" w:type="pct"/>
            <w:tcBorders>
              <w:top w:val="single" w:sz="4" w:space="0" w:color="auto"/>
              <w:left w:val="nil"/>
              <w:bottom w:val="single" w:sz="4" w:space="0" w:color="auto"/>
              <w:right w:val="nil"/>
            </w:tcBorders>
            <w:shd w:val="clear" w:color="auto" w:fill="auto"/>
            <w:noWrap/>
            <w:vAlign w:val="bottom"/>
          </w:tcPr>
          <w:p w:rsidR="006E2DC2" w:rsidRPr="006D2D0A" w:rsidRDefault="006E2DC2" w:rsidP="00704CC0">
            <w:pPr>
              <w:tabs>
                <w:tab w:val="left" w:pos="567"/>
                <w:tab w:val="left" w:pos="1134"/>
                <w:tab w:val="left" w:pos="1701"/>
                <w:tab w:val="left" w:pos="2268"/>
              </w:tabs>
              <w:jc w:val="right"/>
              <w:rPr>
                <w:rFonts w:cs="Arial"/>
                <w:b/>
                <w:bCs/>
                <w:sz w:val="18"/>
                <w:szCs w:val="18"/>
              </w:rPr>
            </w:pPr>
            <w:r w:rsidRPr="006D2D0A">
              <w:rPr>
                <w:rFonts w:cs="Arial"/>
                <w:b/>
                <w:bCs/>
                <w:sz w:val="18"/>
                <w:szCs w:val="18"/>
              </w:rPr>
              <w:t>8,1</w:t>
            </w:r>
            <w:r w:rsidR="00AA4E53" w:rsidRPr="006D2D0A">
              <w:rPr>
                <w:rFonts w:cs="Arial"/>
                <w:b/>
                <w:bCs/>
                <w:sz w:val="18"/>
                <w:szCs w:val="18"/>
              </w:rPr>
              <w:t>2</w:t>
            </w:r>
            <w:r w:rsidR="00E616FD" w:rsidRPr="006D2D0A">
              <w:rPr>
                <w:rFonts w:cs="Arial"/>
                <w:b/>
                <w:bCs/>
                <w:sz w:val="18"/>
                <w:szCs w:val="18"/>
              </w:rPr>
              <w:t>1</w:t>
            </w:r>
          </w:p>
        </w:tc>
      </w:tr>
    </w:tbl>
    <w:p w:rsidR="001A7A43" w:rsidRPr="00EB02DA" w:rsidRDefault="001A7A43" w:rsidP="00704CC0">
      <w:pPr>
        <w:pStyle w:val="Normal2-Para"/>
        <w:tabs>
          <w:tab w:val="left" w:pos="567"/>
          <w:tab w:val="left" w:pos="1134"/>
          <w:tab w:val="left" w:pos="1701"/>
          <w:tab w:val="left" w:pos="2268"/>
        </w:tabs>
        <w:spacing w:line="240" w:lineRule="auto"/>
        <w:rPr>
          <w:i/>
        </w:rPr>
      </w:pPr>
      <w:r w:rsidRPr="00EB02DA">
        <w:rPr>
          <w:i/>
        </w:rPr>
        <w:t>(The accompanying notes are an integral part of the financial statements.)</w:t>
      </w:r>
    </w:p>
    <w:p w:rsidR="0092140F" w:rsidRPr="00704CC0" w:rsidRDefault="0092140F" w:rsidP="00704CC0">
      <w:pPr>
        <w:pStyle w:val="Heading2-Para"/>
        <w:spacing w:before="720"/>
        <w:rPr>
          <w:sz w:val="24"/>
          <w:szCs w:val="24"/>
        </w:rPr>
      </w:pPr>
      <w:r w:rsidRPr="00704CC0">
        <w:rPr>
          <w:sz w:val="24"/>
          <w:szCs w:val="24"/>
        </w:rPr>
        <w:t>Notes to Consolidated Financial Statements</w:t>
      </w:r>
    </w:p>
    <w:p w:rsidR="0092140F" w:rsidRPr="00A76890" w:rsidRDefault="0092140F" w:rsidP="00704CC0">
      <w:pPr>
        <w:pStyle w:val="Heading2-Para"/>
        <w:numPr>
          <w:ilvl w:val="0"/>
          <w:numId w:val="14"/>
        </w:numPr>
        <w:ind w:left="567" w:hanging="567"/>
      </w:pPr>
      <w:r w:rsidRPr="00A76890">
        <w:t>General information and statement of compliance with IFRS</w:t>
      </w:r>
      <w:r w:rsidR="000A76A0" w:rsidRPr="00A76890">
        <w:t>s</w:t>
      </w:r>
    </w:p>
    <w:p w:rsidR="00DE6A1C" w:rsidRPr="00A76890" w:rsidRDefault="0092140F" w:rsidP="00704CC0">
      <w:pPr>
        <w:pStyle w:val="Normal2-Para"/>
        <w:tabs>
          <w:tab w:val="left" w:pos="567"/>
          <w:tab w:val="left" w:pos="1134"/>
          <w:tab w:val="left" w:pos="1701"/>
          <w:tab w:val="left" w:pos="2268"/>
        </w:tabs>
        <w:spacing w:line="240" w:lineRule="auto"/>
        <w:ind w:left="567"/>
      </w:pPr>
      <w:r w:rsidRPr="00A76890">
        <w:t xml:space="preserve">Elephant Capital plc (the </w:t>
      </w:r>
      <w:r w:rsidR="00AF32FC" w:rsidRPr="00A76890">
        <w:t>“</w:t>
      </w:r>
      <w:r w:rsidRPr="00A76890">
        <w:t>Company</w:t>
      </w:r>
      <w:r w:rsidR="00AF32FC" w:rsidRPr="00A76890">
        <w:t>”</w:t>
      </w:r>
      <w:r w:rsidRPr="00A76890">
        <w:t>) is a public limited company, incorporated in the Isle of Man on 16 May 2006 and listed on the Alternative Investment Market (</w:t>
      </w:r>
      <w:r w:rsidR="002F6178" w:rsidRPr="00A76890">
        <w:t>“</w:t>
      </w:r>
      <w:r w:rsidRPr="00A76890">
        <w:t>AIM</w:t>
      </w:r>
      <w:r w:rsidR="00AF32FC" w:rsidRPr="00A76890">
        <w:t>”</w:t>
      </w:r>
      <w:r w:rsidRPr="00A76890">
        <w:t xml:space="preserve">) of the London Stock Exchange, with its registered office at </w:t>
      </w:r>
      <w:r w:rsidR="00DE6A1C" w:rsidRPr="00A76890">
        <w:t xml:space="preserve">Clinch’s House, Lord Street, Douglas, </w:t>
      </w:r>
      <w:proofErr w:type="gramStart"/>
      <w:r w:rsidR="00DE6A1C" w:rsidRPr="00A76890">
        <w:t>Isle</w:t>
      </w:r>
      <w:proofErr w:type="gramEnd"/>
      <w:r w:rsidR="00DE6A1C" w:rsidRPr="00A76890">
        <w:t xml:space="preserve"> of Man, IM99 1RZ</w:t>
      </w:r>
      <w:r w:rsidR="00C86D81" w:rsidRPr="00A76890">
        <w:t>.</w:t>
      </w:r>
    </w:p>
    <w:p w:rsidR="0092140F" w:rsidRPr="00A76890" w:rsidRDefault="0092140F" w:rsidP="00704CC0">
      <w:pPr>
        <w:pStyle w:val="Normal2-Para"/>
        <w:tabs>
          <w:tab w:val="left" w:pos="567"/>
          <w:tab w:val="left" w:pos="1134"/>
          <w:tab w:val="left" w:pos="1701"/>
          <w:tab w:val="left" w:pos="2268"/>
        </w:tabs>
        <w:spacing w:line="240" w:lineRule="auto"/>
        <w:ind w:left="567"/>
      </w:pPr>
      <w:r w:rsidRPr="00A76890">
        <w:t>The Group represents the Company and its subsidiaries. The financial statements comprise the Group’s consolidated statement of comprehensive income, consolidated statement of financial position, consolidated statement of cash flows and consolidated statement of changes in equity. The financial statements also include the Company statement of financial position, the Company statement of cash flows and the Company statement of changes in equity to comply with the Isle of Man Companies Act 1982. Under section 3(5) (b) (ii) of the Isle of Man Companies Act 1982, the Company is exempt from the requirement to present its own statement of comprehensive income. The accounting policies for the preparation of the Company statement of financial position, statement of cash flow and statement of changes in equity to the extent they differ from accounting policies used for the preparation of the consolidated financial statements have been separately disclosed in the following notes.</w:t>
      </w:r>
    </w:p>
    <w:p w:rsidR="0092140F" w:rsidRPr="00A76890" w:rsidRDefault="0092140F" w:rsidP="00704CC0">
      <w:pPr>
        <w:pStyle w:val="Normal2-Para"/>
        <w:tabs>
          <w:tab w:val="left" w:pos="567"/>
          <w:tab w:val="left" w:pos="1134"/>
          <w:tab w:val="left" w:pos="1701"/>
          <w:tab w:val="left" w:pos="2268"/>
        </w:tabs>
        <w:spacing w:line="240" w:lineRule="auto"/>
        <w:ind w:left="567"/>
      </w:pPr>
      <w:r w:rsidRPr="00A76890">
        <w:t>Under Protocol 3 of the UK’s Treaty of Accession, the Isle of Man is part of the customs territory of the European Union. The financial statements have</w:t>
      </w:r>
      <w:r w:rsidR="00F072B5" w:rsidRPr="00A76890">
        <w:t xml:space="preserve"> </w:t>
      </w:r>
      <w:r w:rsidRPr="00A76890">
        <w:t xml:space="preserve">been prepared in accordance with the applicable International Financial Reporting Standards </w:t>
      </w:r>
      <w:r w:rsidR="00AF32FC" w:rsidRPr="00A76890">
        <w:t>(</w:t>
      </w:r>
      <w:r w:rsidR="002F6178" w:rsidRPr="00A76890">
        <w:t>“I</w:t>
      </w:r>
      <w:r w:rsidRPr="00A76890">
        <w:t>FRS</w:t>
      </w:r>
      <w:r w:rsidR="000A76A0" w:rsidRPr="00A76890">
        <w:t>s</w:t>
      </w:r>
      <w:r w:rsidR="00AF32FC" w:rsidRPr="00A76890">
        <w:t>”</w:t>
      </w:r>
      <w:r w:rsidRPr="00A76890">
        <w:t>) as adopted by the European Union.</w:t>
      </w:r>
    </w:p>
    <w:p w:rsidR="0092140F" w:rsidRPr="00A76890" w:rsidRDefault="0092140F" w:rsidP="00704CC0">
      <w:pPr>
        <w:pStyle w:val="Normal2-Para"/>
        <w:tabs>
          <w:tab w:val="left" w:pos="567"/>
          <w:tab w:val="left" w:pos="1134"/>
          <w:tab w:val="left" w:pos="1701"/>
          <w:tab w:val="left" w:pos="2268"/>
        </w:tabs>
        <w:spacing w:line="240" w:lineRule="auto"/>
        <w:ind w:left="567"/>
      </w:pPr>
      <w:r w:rsidRPr="00A76890">
        <w:t>The financial statements for the year ended 31 August 201</w:t>
      </w:r>
      <w:r w:rsidR="0031728D" w:rsidRPr="00A76890">
        <w:t>3</w:t>
      </w:r>
      <w:r w:rsidR="00C8486A" w:rsidRPr="00A76890">
        <w:t xml:space="preserve"> </w:t>
      </w:r>
      <w:r w:rsidRPr="00A76890">
        <w:t xml:space="preserve">(including comparatives) were approved and authorised for issue by the Board of Directors on </w:t>
      </w:r>
      <w:r w:rsidR="00EF5A34" w:rsidRPr="00A76890">
        <w:t>26</w:t>
      </w:r>
      <w:r w:rsidRPr="00A76890">
        <w:t xml:space="preserve"> </w:t>
      </w:r>
      <w:r w:rsidR="00807361" w:rsidRPr="00A76890">
        <w:t>February 2014</w:t>
      </w:r>
      <w:r w:rsidRPr="00A76890">
        <w:t>.</w:t>
      </w:r>
    </w:p>
    <w:p w:rsidR="0092140F" w:rsidRPr="00A76890" w:rsidRDefault="0092140F" w:rsidP="00704CC0">
      <w:pPr>
        <w:pStyle w:val="Heading2-Para"/>
        <w:numPr>
          <w:ilvl w:val="0"/>
          <w:numId w:val="14"/>
        </w:numPr>
        <w:ind w:left="567" w:hanging="567"/>
      </w:pPr>
      <w:r w:rsidRPr="00A76890">
        <w:t>Nature of operations</w:t>
      </w:r>
    </w:p>
    <w:p w:rsidR="0092140F" w:rsidRPr="00A76890" w:rsidRDefault="0092140F" w:rsidP="00704CC0">
      <w:pPr>
        <w:pStyle w:val="Normal2-Para"/>
        <w:tabs>
          <w:tab w:val="left" w:pos="567"/>
          <w:tab w:val="left" w:pos="1134"/>
          <w:tab w:val="left" w:pos="1701"/>
          <w:tab w:val="left" w:pos="2268"/>
        </w:tabs>
        <w:spacing w:line="240" w:lineRule="auto"/>
        <w:ind w:left="567"/>
      </w:pPr>
      <w:r w:rsidRPr="00A76890">
        <w:t>The Company’s business consists of investing through the Group, in businesses that have operations primarily in India</w:t>
      </w:r>
      <w:r w:rsidR="003F1071" w:rsidRPr="00A76890">
        <w:t xml:space="preserve"> </w:t>
      </w:r>
      <w:r w:rsidRPr="00A76890">
        <w:t>and generating returns for its shareholders.</w:t>
      </w:r>
    </w:p>
    <w:p w:rsidR="00331645" w:rsidRPr="00A76890" w:rsidRDefault="0040638F" w:rsidP="00704CC0">
      <w:pPr>
        <w:pStyle w:val="Heading2-Para"/>
        <w:numPr>
          <w:ilvl w:val="0"/>
          <w:numId w:val="14"/>
        </w:numPr>
        <w:ind w:left="567" w:hanging="567"/>
      </w:pPr>
      <w:r>
        <w:t>a)</w:t>
      </w:r>
      <w:r w:rsidR="00255020">
        <w:t xml:space="preserve"> </w:t>
      </w:r>
      <w:r w:rsidR="00331645" w:rsidRPr="00A76890">
        <w:t xml:space="preserve">New Standards/amendments adopted </w:t>
      </w:r>
    </w:p>
    <w:p w:rsidR="00331645" w:rsidRPr="00A76890" w:rsidRDefault="00331645" w:rsidP="00704CC0">
      <w:pPr>
        <w:pStyle w:val="Heading3-Sub-para"/>
        <w:ind w:left="567"/>
      </w:pPr>
      <w:r w:rsidRPr="00A76890">
        <w:t>IAS</w:t>
      </w:r>
      <w:r w:rsidR="00E06D79" w:rsidRPr="00A76890">
        <w:t xml:space="preserve"> </w:t>
      </w:r>
      <w:r w:rsidRPr="00A76890">
        <w:t xml:space="preserve">1, </w:t>
      </w:r>
      <w:r w:rsidR="00AF32FC" w:rsidRPr="00A76890">
        <w:t>“</w:t>
      </w:r>
      <w:r w:rsidRPr="00A76890">
        <w:t xml:space="preserve">Presentation of Financial </w:t>
      </w:r>
      <w:r w:rsidR="00761C73" w:rsidRPr="00A76890">
        <w:t>S</w:t>
      </w:r>
      <w:r w:rsidRPr="00A76890">
        <w:t>tatements</w:t>
      </w:r>
      <w:r w:rsidR="00AF32FC" w:rsidRPr="00A76890">
        <w:t>”</w:t>
      </w:r>
      <w:r w:rsidRPr="00A76890">
        <w:t xml:space="preserve"> </w:t>
      </w:r>
    </w:p>
    <w:p w:rsidR="00331645" w:rsidRPr="00EB02DA" w:rsidRDefault="00331645" w:rsidP="00704CC0">
      <w:pPr>
        <w:pStyle w:val="Normal3-Sub-para"/>
        <w:spacing w:line="240" w:lineRule="auto"/>
        <w:ind w:left="567"/>
        <w:rPr>
          <w:i/>
        </w:rPr>
      </w:pPr>
      <w:r w:rsidRPr="00EB02DA">
        <w:rPr>
          <w:i/>
        </w:rPr>
        <w:t>Annual periods beginning on or after 1 July 2012</w:t>
      </w:r>
    </w:p>
    <w:p w:rsidR="002B5EA6" w:rsidRPr="00A76890" w:rsidRDefault="00331645" w:rsidP="00704CC0">
      <w:pPr>
        <w:pStyle w:val="Normal3-Sub-para"/>
        <w:spacing w:line="240" w:lineRule="auto"/>
        <w:ind w:left="567"/>
      </w:pPr>
      <w:r w:rsidRPr="00A76890">
        <w:t xml:space="preserve">The amendment requires entities to separate items presented in </w:t>
      </w:r>
      <w:r w:rsidR="00E06D79" w:rsidRPr="00A76890">
        <w:t>Other Comprehensive Income</w:t>
      </w:r>
      <w:r w:rsidRPr="00A76890">
        <w:t xml:space="preserve"> into two groups, based on whether or not they may be recycled to profit or loss in the future. Items that will not be recycled such as revaluation gains on property, plant and equipment will be presented separately from items that may be recycled in the future such as deferred gains and losses on cash flow hedges. Entities that choose to present </w:t>
      </w:r>
      <w:r w:rsidR="00E06D79" w:rsidRPr="00A76890">
        <w:t>Other Comprehensive Income</w:t>
      </w:r>
      <w:r w:rsidRPr="00A76890">
        <w:t xml:space="preserve"> items before tax will be required to show the amount of tax related to the two groups separately. </w:t>
      </w:r>
    </w:p>
    <w:p w:rsidR="00331645" w:rsidRPr="00A76890" w:rsidRDefault="00331645" w:rsidP="00704CC0">
      <w:pPr>
        <w:pStyle w:val="Normal3-Sub-para"/>
        <w:spacing w:line="240" w:lineRule="auto"/>
        <w:ind w:left="567"/>
      </w:pPr>
      <w:r w:rsidRPr="00A76890">
        <w:t xml:space="preserve">Given the current transactions, </w:t>
      </w:r>
      <w:r w:rsidR="002B5EA6" w:rsidRPr="00A76890">
        <w:t xml:space="preserve">the Group’s management has evaluated that the above amendment does not have any impact on the </w:t>
      </w:r>
      <w:r w:rsidRPr="00A76890">
        <w:t>Group.</w:t>
      </w:r>
    </w:p>
    <w:p w:rsidR="0092140F" w:rsidRPr="00A76890" w:rsidRDefault="00331645" w:rsidP="00704CC0">
      <w:pPr>
        <w:pStyle w:val="Heading3-Sub-para"/>
        <w:ind w:left="567"/>
      </w:pPr>
      <w:r w:rsidRPr="00A76890">
        <w:t xml:space="preserve">b) </w:t>
      </w:r>
      <w:r w:rsidR="0092140F" w:rsidRPr="00A76890">
        <w:t>Standards, amendments and interpretations to existing standards that are not yet effective and have not been adopted early by the Group</w:t>
      </w:r>
    </w:p>
    <w:p w:rsidR="0092140F" w:rsidRPr="00A76890" w:rsidRDefault="0092140F" w:rsidP="00704CC0">
      <w:pPr>
        <w:pStyle w:val="Normal3-Sub-para"/>
        <w:spacing w:line="240" w:lineRule="auto"/>
        <w:ind w:left="567"/>
      </w:pPr>
      <w:r w:rsidRPr="00A76890">
        <w:t xml:space="preserve">At the date of authorisation of these financial statements, certain new standards, interpretations and amendments to existing standards that are likely to be applicable to the Group have been published but are not yet effective and have not been adopted early by the Group. </w:t>
      </w:r>
    </w:p>
    <w:p w:rsidR="0092140F" w:rsidRPr="00A76890" w:rsidRDefault="0092140F" w:rsidP="00704CC0">
      <w:pPr>
        <w:pStyle w:val="Heading3-Sub-para"/>
        <w:ind w:left="567"/>
      </w:pPr>
      <w:r w:rsidRPr="00A76890">
        <w:t>IFRS</w:t>
      </w:r>
      <w:r w:rsidR="00447018" w:rsidRPr="00A76890">
        <w:t xml:space="preserve"> </w:t>
      </w:r>
      <w:r w:rsidRPr="00A76890">
        <w:t>10 Consolidated Financial Statements</w:t>
      </w:r>
    </w:p>
    <w:p w:rsidR="0092140F" w:rsidRPr="00EB02DA" w:rsidRDefault="0092140F" w:rsidP="00704CC0">
      <w:pPr>
        <w:pStyle w:val="Normal3-Sub-para"/>
        <w:spacing w:line="240" w:lineRule="auto"/>
        <w:ind w:left="567"/>
        <w:rPr>
          <w:i/>
        </w:rPr>
      </w:pPr>
      <w:r w:rsidRPr="00EB02DA">
        <w:rPr>
          <w:i/>
        </w:rPr>
        <w:t>Effective date: Annual Period beginning on or after 1 Jan</w:t>
      </w:r>
      <w:r w:rsidR="00AF32FC" w:rsidRPr="00EB02DA">
        <w:rPr>
          <w:i/>
        </w:rPr>
        <w:t>uary</w:t>
      </w:r>
      <w:r w:rsidRPr="00EB02DA">
        <w:rPr>
          <w:i/>
        </w:rPr>
        <w:t xml:space="preserve"> 201</w:t>
      </w:r>
      <w:r w:rsidR="00142629" w:rsidRPr="00EB02DA">
        <w:rPr>
          <w:i/>
        </w:rPr>
        <w:t>4</w:t>
      </w:r>
    </w:p>
    <w:p w:rsidR="00C94D63" w:rsidRPr="00EB02DA" w:rsidRDefault="00C94D63" w:rsidP="00704CC0">
      <w:pPr>
        <w:pStyle w:val="Normal3-Sub-para"/>
        <w:spacing w:line="240" w:lineRule="auto"/>
        <w:ind w:left="567"/>
      </w:pPr>
      <w:r w:rsidRPr="00EB02DA">
        <w:t>IFRS 10 replaces the parts of previously existing IAS 27 Consolidated and Separate Financial Statements that dealt with consolidated financial statements and SIC-12 Consolidation – Special Purpose Entities. IFRS 10 changes the definition of control such that an investor controls an investee when it is exposed, or has rights, to variable returns from its involvement with the investee and has the ability to affect those returns through its power over the investee. To meet the definition of control in IFRS 10, all three criteria must be met, including: (a) an investor has power over an investee; (b) the investor has exposure, or rights, to variable returns from its involvement with the investee; and (c) the investor has the ability to use its power over the investee to affect the amount of the investor’s returns.</w:t>
      </w:r>
    </w:p>
    <w:p w:rsidR="00A24F55" w:rsidRPr="00EB02DA" w:rsidRDefault="00A24F55" w:rsidP="00704CC0">
      <w:pPr>
        <w:pStyle w:val="Normal3-Sub-para"/>
        <w:spacing w:line="240" w:lineRule="auto"/>
        <w:ind w:left="567"/>
      </w:pPr>
      <w:r w:rsidRPr="00EB02DA">
        <w:t>The Group’s management has y</w:t>
      </w:r>
      <w:r w:rsidR="00447018" w:rsidRPr="00EB02DA">
        <w:t>et to assess the impact of this new and revised standard</w:t>
      </w:r>
      <w:r w:rsidRPr="00EB02DA">
        <w:t xml:space="preserve"> on the Group’s consolidated financial statements.</w:t>
      </w:r>
    </w:p>
    <w:p w:rsidR="0092140F" w:rsidRPr="00A76890" w:rsidRDefault="0092140F" w:rsidP="00704CC0">
      <w:pPr>
        <w:pStyle w:val="Heading3-Sub-para"/>
        <w:ind w:left="567"/>
      </w:pPr>
      <w:r w:rsidRPr="00A76890">
        <w:t xml:space="preserve">IFRS 12 Disclosures of </w:t>
      </w:r>
      <w:r w:rsidR="00D14A9A" w:rsidRPr="00A76890">
        <w:t>I</w:t>
      </w:r>
      <w:r w:rsidRPr="00A76890">
        <w:t xml:space="preserve">nterests in </w:t>
      </w:r>
      <w:r w:rsidR="00D14A9A" w:rsidRPr="00A76890">
        <w:t>O</w:t>
      </w:r>
      <w:r w:rsidRPr="00A76890">
        <w:t xml:space="preserve">ther </w:t>
      </w:r>
      <w:r w:rsidR="00D14A9A" w:rsidRPr="00A76890">
        <w:t>E</w:t>
      </w:r>
      <w:r w:rsidRPr="00A76890">
        <w:t>ntities</w:t>
      </w:r>
    </w:p>
    <w:p w:rsidR="0092140F" w:rsidRPr="00EB02DA" w:rsidRDefault="0092140F" w:rsidP="00704CC0">
      <w:pPr>
        <w:pStyle w:val="Normal3-Sub-para"/>
        <w:spacing w:line="240" w:lineRule="auto"/>
        <w:ind w:left="567"/>
        <w:rPr>
          <w:i/>
        </w:rPr>
      </w:pPr>
      <w:r w:rsidRPr="00EB02DA">
        <w:rPr>
          <w:i/>
        </w:rPr>
        <w:t>Effective date: Annual Period beginning on or after 1 Jan</w:t>
      </w:r>
      <w:r w:rsidR="00AF32FC" w:rsidRPr="00EB02DA">
        <w:rPr>
          <w:i/>
        </w:rPr>
        <w:t>uary</w:t>
      </w:r>
      <w:r w:rsidRPr="00EB02DA">
        <w:rPr>
          <w:i/>
        </w:rPr>
        <w:t xml:space="preserve"> 201</w:t>
      </w:r>
      <w:r w:rsidR="00142629" w:rsidRPr="00EB02DA">
        <w:rPr>
          <w:i/>
        </w:rPr>
        <w:t>4</w:t>
      </w:r>
    </w:p>
    <w:p w:rsidR="00C94D63" w:rsidRPr="00EB02DA" w:rsidRDefault="00C94D63" w:rsidP="00704CC0">
      <w:pPr>
        <w:pStyle w:val="Normal3-Sub-para"/>
        <w:spacing w:line="240" w:lineRule="auto"/>
        <w:ind w:left="567"/>
      </w:pPr>
      <w:r w:rsidRPr="00EB02DA">
        <w:t>Disclosure of Interest in Other Entities” is a new and comprehensive standard on disclosure requirements for all forms of interests in other entities, including joint arrangements, associates, special purpose vehicles and other off -balance sheet vehicles. The standard includes disclosure requirements for entities covered under IFRS 10 and IFRS 11.</w:t>
      </w:r>
    </w:p>
    <w:p w:rsidR="00C94D63" w:rsidRPr="00EB02DA" w:rsidRDefault="00C94D63" w:rsidP="00704CC0">
      <w:pPr>
        <w:pStyle w:val="Normal3-Sub-para"/>
        <w:spacing w:line="240" w:lineRule="auto"/>
        <w:ind w:left="567"/>
      </w:pPr>
      <w:r w:rsidRPr="00EB02DA">
        <w:t>Further, in June 2012, IASB published “Consolidated Financial Statements, Joint Arrangements and Disclosure of</w:t>
      </w:r>
      <w:r w:rsidR="00EB02DA">
        <w:t xml:space="preserve"> </w:t>
      </w:r>
      <w:r w:rsidRPr="00EB02DA">
        <w:t>Interests in Other Entities: Transition Guidance” as amendments to IFRS 10, IFRS 11 and IFRS 12. These amendments are intended to provide additional transition relief by limiting the requirement to provide adjusted comparative information to only the preceding comparative period.</w:t>
      </w:r>
    </w:p>
    <w:p w:rsidR="00C94D63" w:rsidRPr="00EB02DA" w:rsidRDefault="00C94D63" w:rsidP="00704CC0">
      <w:pPr>
        <w:pStyle w:val="Normal3-Sub-para"/>
        <w:spacing w:line="240" w:lineRule="auto"/>
        <w:ind w:left="567"/>
      </w:pPr>
      <w:r w:rsidRPr="00EB02DA">
        <w:t>The Group’s management has yet to assess the impact of th</w:t>
      </w:r>
      <w:r w:rsidR="00447018" w:rsidRPr="00EB02DA">
        <w:t>is new and revised standard</w:t>
      </w:r>
      <w:r w:rsidRPr="00EB02DA">
        <w:t xml:space="preserve"> on the Group’s consolidated financial statements.</w:t>
      </w:r>
    </w:p>
    <w:p w:rsidR="0092140F" w:rsidRPr="00A76890" w:rsidRDefault="0092140F" w:rsidP="00704CC0">
      <w:pPr>
        <w:pStyle w:val="Heading3-Sub-para"/>
        <w:ind w:left="567"/>
      </w:pPr>
      <w:r w:rsidRPr="00A76890">
        <w:t>IFRS 13 Fair Value Measurement</w:t>
      </w:r>
    </w:p>
    <w:p w:rsidR="0092140F" w:rsidRPr="00EB02DA" w:rsidRDefault="0092140F" w:rsidP="00704CC0">
      <w:pPr>
        <w:pStyle w:val="Normal3-Sub-para"/>
        <w:spacing w:line="240" w:lineRule="auto"/>
        <w:ind w:left="567"/>
        <w:rPr>
          <w:i/>
        </w:rPr>
      </w:pPr>
      <w:r w:rsidRPr="00EB02DA">
        <w:rPr>
          <w:i/>
        </w:rPr>
        <w:t xml:space="preserve">Effective date: Annual Period beginning on or after 1 </w:t>
      </w:r>
      <w:r w:rsidR="00AF32FC" w:rsidRPr="00EB02DA">
        <w:rPr>
          <w:i/>
        </w:rPr>
        <w:t>January</w:t>
      </w:r>
      <w:r w:rsidR="00351A3B" w:rsidRPr="00EB02DA">
        <w:rPr>
          <w:i/>
        </w:rPr>
        <w:t xml:space="preserve"> </w:t>
      </w:r>
      <w:r w:rsidRPr="00EB02DA">
        <w:rPr>
          <w:i/>
        </w:rPr>
        <w:t>2013</w:t>
      </w:r>
    </w:p>
    <w:p w:rsidR="0092140F" w:rsidRPr="00A76890" w:rsidRDefault="0092140F" w:rsidP="00704CC0">
      <w:pPr>
        <w:pStyle w:val="Normal3-Sub-para"/>
        <w:spacing w:line="240" w:lineRule="auto"/>
        <w:ind w:left="567"/>
      </w:pPr>
      <w:r w:rsidRPr="00A76890">
        <w:t xml:space="preserve">The new IFRS does not affect which items are required to be </w:t>
      </w:r>
      <w:r w:rsidR="008F2C03" w:rsidRPr="00A76890">
        <w:t>“</w:t>
      </w:r>
      <w:r w:rsidRPr="00A76890">
        <w:t>fair-valued</w:t>
      </w:r>
      <w:r w:rsidR="008F2C03" w:rsidRPr="00A76890">
        <w:t>”</w:t>
      </w:r>
      <w:r w:rsidRPr="00A76890">
        <w:t>, but specifies how an entity should measure fair value and disclose fair value information. Prior to the publication of IFRS 13, the guidance on measuring fair value was distributed across many IFRSs. IFRS 13 has been developed to remedy this problem, by:</w:t>
      </w:r>
    </w:p>
    <w:p w:rsidR="0092140F" w:rsidRPr="00A76890" w:rsidRDefault="0092140F" w:rsidP="00704CC0">
      <w:pPr>
        <w:pStyle w:val="Normal3-Sub-para"/>
        <w:numPr>
          <w:ilvl w:val="0"/>
          <w:numId w:val="15"/>
        </w:numPr>
        <w:spacing w:line="240" w:lineRule="auto"/>
        <w:ind w:left="1134" w:hanging="567"/>
      </w:pPr>
      <w:r w:rsidRPr="00A76890">
        <w:t>establishing a single source of guidance for all fair value measurements clarifying the definition of fair value and related guidance</w:t>
      </w:r>
    </w:p>
    <w:p w:rsidR="0092140F" w:rsidRPr="00A76890" w:rsidRDefault="0092140F" w:rsidP="00704CC0">
      <w:pPr>
        <w:pStyle w:val="Normal3-Sub-para"/>
        <w:numPr>
          <w:ilvl w:val="0"/>
          <w:numId w:val="15"/>
        </w:numPr>
        <w:spacing w:line="240" w:lineRule="auto"/>
        <w:ind w:left="1134" w:hanging="567"/>
      </w:pPr>
      <w:proofErr w:type="gramStart"/>
      <w:r w:rsidRPr="00A76890">
        <w:t>enhancing</w:t>
      </w:r>
      <w:proofErr w:type="gramEnd"/>
      <w:r w:rsidRPr="00A76890">
        <w:t xml:space="preserve"> disclosures about fair value measurements (new disclosures increase transparency about fair value measurements, including the valuation techniques and inputs used to measure fair value).</w:t>
      </w:r>
    </w:p>
    <w:p w:rsidR="001741E3" w:rsidRPr="00A76890" w:rsidRDefault="001741E3" w:rsidP="00704CC0">
      <w:pPr>
        <w:pStyle w:val="Normal3-Sub-para"/>
        <w:spacing w:line="240" w:lineRule="auto"/>
        <w:ind w:left="567"/>
      </w:pPr>
      <w:r w:rsidRPr="00A76890">
        <w:t>The Group’s management is currently evaluating the requirements of this new standard and do not believe that the adoption of these standards will have a material effect on its consolidated financial statements.</w:t>
      </w:r>
    </w:p>
    <w:p w:rsidR="0092140F" w:rsidRPr="00A76890" w:rsidRDefault="0092140F" w:rsidP="00704CC0">
      <w:pPr>
        <w:pStyle w:val="Heading3-Sub-para"/>
        <w:ind w:left="567"/>
      </w:pPr>
      <w:r w:rsidRPr="00A76890">
        <w:t>IAS</w:t>
      </w:r>
      <w:r w:rsidR="00A24F55" w:rsidRPr="00A76890">
        <w:t xml:space="preserve"> </w:t>
      </w:r>
      <w:r w:rsidRPr="00A76890">
        <w:t>27 Separate Financial Statements</w:t>
      </w:r>
    </w:p>
    <w:p w:rsidR="0092140F" w:rsidRPr="00EB02DA" w:rsidRDefault="0092140F" w:rsidP="00704CC0">
      <w:pPr>
        <w:pStyle w:val="Normal3-Sub-para"/>
        <w:spacing w:line="240" w:lineRule="auto"/>
        <w:ind w:left="567"/>
        <w:rPr>
          <w:i/>
        </w:rPr>
      </w:pPr>
      <w:r w:rsidRPr="00EB02DA">
        <w:rPr>
          <w:i/>
        </w:rPr>
        <w:t>Effective date: Annual Period beginning on or after 1 Jan</w:t>
      </w:r>
      <w:r w:rsidR="008F2C03" w:rsidRPr="00EB02DA">
        <w:rPr>
          <w:i/>
        </w:rPr>
        <w:t>uary</w:t>
      </w:r>
      <w:r w:rsidRPr="00EB02DA">
        <w:rPr>
          <w:i/>
        </w:rPr>
        <w:t xml:space="preserve"> 201</w:t>
      </w:r>
      <w:r w:rsidR="00142629" w:rsidRPr="00EB02DA">
        <w:rPr>
          <w:i/>
        </w:rPr>
        <w:t>4</w:t>
      </w:r>
    </w:p>
    <w:p w:rsidR="00A24F55" w:rsidRPr="00A76890" w:rsidRDefault="0092140F" w:rsidP="00704CC0">
      <w:pPr>
        <w:pStyle w:val="Normal3-Sub-para"/>
        <w:spacing w:line="240" w:lineRule="auto"/>
        <w:ind w:left="567"/>
      </w:pPr>
      <w:r w:rsidRPr="00A76890">
        <w:t>Consequential changes have been made to IAS27 as a result of the publication of the new IFRSs. IAS 27 will now solely address separate financial statements, the requirements for which are substantially unchanged. Though applicable, based on management’s assessment, the standard is not likely to have an impact on the Company financial statements as the requirements have remained unchanged.</w:t>
      </w:r>
    </w:p>
    <w:p w:rsidR="00A24F55" w:rsidRPr="00A76890" w:rsidRDefault="00A24F55" w:rsidP="00704CC0">
      <w:pPr>
        <w:pStyle w:val="Heading3-Sub-para"/>
        <w:ind w:left="567"/>
      </w:pPr>
      <w:r w:rsidRPr="00A76890">
        <w:t>IFRS 7 Financial Instruments: Disclosures</w:t>
      </w:r>
    </w:p>
    <w:p w:rsidR="00A24F55" w:rsidRPr="00EB02DA" w:rsidRDefault="00A24F55" w:rsidP="00704CC0">
      <w:pPr>
        <w:pStyle w:val="Normal3-Sub-para"/>
        <w:spacing w:line="240" w:lineRule="auto"/>
        <w:ind w:left="567"/>
        <w:rPr>
          <w:i/>
        </w:rPr>
      </w:pPr>
      <w:r w:rsidRPr="00EB02DA">
        <w:rPr>
          <w:i/>
        </w:rPr>
        <w:t>Effective date: Annual Period beginning on or after 1 Jan</w:t>
      </w:r>
      <w:r w:rsidR="008F2C03" w:rsidRPr="00EB02DA">
        <w:rPr>
          <w:i/>
        </w:rPr>
        <w:t>uary</w:t>
      </w:r>
      <w:r w:rsidRPr="00EB02DA">
        <w:rPr>
          <w:i/>
        </w:rPr>
        <w:t xml:space="preserve"> 2013</w:t>
      </w:r>
    </w:p>
    <w:p w:rsidR="00A24F55" w:rsidRPr="00A76890" w:rsidRDefault="00A24F55" w:rsidP="00704CC0">
      <w:pPr>
        <w:pStyle w:val="Normal3-Sub-para"/>
        <w:spacing w:line="240" w:lineRule="auto"/>
        <w:ind w:left="567"/>
      </w:pPr>
      <w:r w:rsidRPr="00A76890">
        <w:t>The IASB amended the accounting requirements and disclosures related to offsetting of financial assets and financial liabilities by issuing an amendment to IAS 32 “Financial Instruments: Presentation” (“IAS 32”) and IFRS 7 “Financial Instruments: Disclosure” (“IFRS 7”).</w:t>
      </w:r>
    </w:p>
    <w:p w:rsidR="00A24F55" w:rsidRPr="00A76890" w:rsidRDefault="00A24F55" w:rsidP="00704CC0">
      <w:pPr>
        <w:pStyle w:val="Normal3-Sub-para"/>
        <w:spacing w:line="240" w:lineRule="auto"/>
        <w:ind w:left="567"/>
      </w:pPr>
      <w:r w:rsidRPr="00A76890">
        <w:t>The amendment to IFRS 7 requires companies to disclose information about rights of offset and related arrangements for financial instruments under an enforceable master netting agreement or similar arrangement. It requires retrospective application for comparative periods.</w:t>
      </w:r>
    </w:p>
    <w:p w:rsidR="004C3E32" w:rsidRPr="00A76890" w:rsidRDefault="00A24F55" w:rsidP="00704CC0">
      <w:pPr>
        <w:pStyle w:val="Normal3-Sub-para"/>
        <w:spacing w:line="240" w:lineRule="auto"/>
        <w:ind w:left="567"/>
      </w:pPr>
      <w:r w:rsidRPr="00A76890">
        <w:t>The Group’s management is currently evaluating the requirements of this new standard and do not believe that the adoption of this standard will have a material effect on its consolidated financial statements.</w:t>
      </w:r>
    </w:p>
    <w:p w:rsidR="00AE30CF" w:rsidRPr="000301C3" w:rsidRDefault="0092140F" w:rsidP="00704CC0">
      <w:pPr>
        <w:pStyle w:val="Heading2-Para"/>
        <w:spacing w:before="480"/>
        <w:rPr>
          <w:sz w:val="22"/>
          <w:szCs w:val="22"/>
        </w:rPr>
      </w:pPr>
      <w:r w:rsidRPr="000301C3">
        <w:rPr>
          <w:sz w:val="22"/>
          <w:szCs w:val="22"/>
        </w:rPr>
        <w:t>Summary of significant accounting policies</w:t>
      </w:r>
    </w:p>
    <w:p w:rsidR="00AE30CF" w:rsidRPr="000301C3" w:rsidRDefault="0092140F" w:rsidP="00704CC0">
      <w:pPr>
        <w:keepNext/>
        <w:keepLines/>
        <w:numPr>
          <w:ilvl w:val="0"/>
          <w:numId w:val="1"/>
        </w:numPr>
        <w:tabs>
          <w:tab w:val="clear" w:pos="360"/>
          <w:tab w:val="left" w:pos="567"/>
          <w:tab w:val="left" w:pos="1134"/>
          <w:tab w:val="left" w:pos="1701"/>
          <w:tab w:val="left" w:pos="2268"/>
        </w:tabs>
        <w:spacing w:before="240"/>
        <w:ind w:left="567" w:hanging="567"/>
        <w:jc w:val="both"/>
        <w:rPr>
          <w:rFonts w:cs="Arial"/>
          <w:b/>
        </w:rPr>
      </w:pPr>
      <w:r w:rsidRPr="000301C3">
        <w:rPr>
          <w:rFonts w:cs="Arial"/>
          <w:b/>
        </w:rPr>
        <w:t>Overall considerations</w:t>
      </w:r>
    </w:p>
    <w:p w:rsidR="0092140F" w:rsidRPr="00A76890" w:rsidRDefault="0092140F" w:rsidP="00704CC0">
      <w:pPr>
        <w:pStyle w:val="Normal2-Para"/>
        <w:spacing w:line="240" w:lineRule="auto"/>
        <w:ind w:left="567"/>
        <w:rPr>
          <w:bCs/>
        </w:rPr>
      </w:pPr>
      <w:r w:rsidRPr="00A76890">
        <w:t>The consolidated and Company financial statements have been presented on a going concern basis. The significant accounting policies that have been used in the preparation of these consolidated and Company financial statements are summarised below. The consolidated and Company financial statements have been prepared using the measurement bases specified by IFRS</w:t>
      </w:r>
      <w:r w:rsidR="000A76A0" w:rsidRPr="00A76890">
        <w:t>s</w:t>
      </w:r>
      <w:r w:rsidRPr="00A76890">
        <w:t xml:space="preserve"> as adopted by the European Union for each type of asset, liability, income and expense. The consolidated and Company financial statements have been </w:t>
      </w:r>
      <w:r w:rsidRPr="00A76890">
        <w:rPr>
          <w:bCs/>
        </w:rPr>
        <w:t>prepared on the</w:t>
      </w:r>
      <w:r w:rsidR="007C23E1" w:rsidRPr="00A76890">
        <w:rPr>
          <w:bCs/>
        </w:rPr>
        <w:t xml:space="preserve"> </w:t>
      </w:r>
      <w:r w:rsidRPr="00A76890">
        <w:rPr>
          <w:bCs/>
        </w:rPr>
        <w:t xml:space="preserve">historical cost basis except that certain financial assets and liabilities are stated at fair value. </w:t>
      </w:r>
      <w:r w:rsidRPr="00A76890">
        <w:t>The measurement bases are more fully described in the accounting policies below.</w:t>
      </w:r>
    </w:p>
    <w:p w:rsidR="00AE30CF" w:rsidRPr="000301C3" w:rsidRDefault="0092140F" w:rsidP="00704CC0">
      <w:pPr>
        <w:keepNext/>
        <w:keepLines/>
        <w:numPr>
          <w:ilvl w:val="0"/>
          <w:numId w:val="1"/>
        </w:numPr>
        <w:tabs>
          <w:tab w:val="clear" w:pos="360"/>
          <w:tab w:val="left" w:pos="567"/>
          <w:tab w:val="left" w:pos="1134"/>
          <w:tab w:val="left" w:pos="1701"/>
          <w:tab w:val="left" w:pos="2268"/>
        </w:tabs>
        <w:spacing w:before="240"/>
        <w:ind w:left="567" w:hanging="567"/>
        <w:jc w:val="both"/>
        <w:rPr>
          <w:rFonts w:cs="Arial"/>
          <w:b/>
        </w:rPr>
      </w:pPr>
      <w:r w:rsidRPr="000301C3">
        <w:rPr>
          <w:rFonts w:cs="Arial"/>
          <w:b/>
        </w:rPr>
        <w:t>Basis of consolidation</w:t>
      </w:r>
    </w:p>
    <w:p w:rsidR="00611FF9" w:rsidRPr="00A76890" w:rsidRDefault="0092140F" w:rsidP="00704CC0">
      <w:pPr>
        <w:pStyle w:val="Normal2-Para"/>
        <w:spacing w:line="240" w:lineRule="auto"/>
        <w:ind w:left="567"/>
      </w:pPr>
      <w:r w:rsidRPr="00A76890">
        <w:t>The consolidated financial statements incorporate the financial statements of the Company and its subsidiaries drawn up to 31 August each year. Control is achieved where the Company has the power to govern the financial and operating policies of an investee enterprise so as to obtain benefits from its activities. The Company obtains and exercises control through more than half of the voting rights.</w:t>
      </w:r>
      <w:r w:rsidR="000848B1" w:rsidRPr="00A76890">
        <w:t xml:space="preserve"> </w:t>
      </w:r>
      <w:r w:rsidRPr="00A76890">
        <w:t>All subsidiaries have a reporting date of 31 August.</w:t>
      </w:r>
    </w:p>
    <w:p w:rsidR="00611FF9" w:rsidRPr="00A76890" w:rsidRDefault="0092140F" w:rsidP="00704CC0">
      <w:pPr>
        <w:pStyle w:val="Normal2-Para"/>
        <w:spacing w:line="240" w:lineRule="auto"/>
        <w:ind w:left="567"/>
      </w:pPr>
      <w:r w:rsidRPr="00A76890">
        <w:t>On acquisition, the identifiable assets, liabilities and contingent liabilities of a subsidiary are measured at their fair values at the date of acquisition. All significant inter-company transactions and balances between Group entities are eliminated on consolidation. Amounts reported in the financial statements of subsidiaries are adjusted where necessary to ensure consistency with the accounting policies adopted by the Company.</w:t>
      </w:r>
    </w:p>
    <w:p w:rsidR="00611FF9" w:rsidRPr="00A76890" w:rsidRDefault="0092140F" w:rsidP="00704CC0">
      <w:pPr>
        <w:pStyle w:val="Normal2-Para"/>
        <w:spacing w:line="240" w:lineRule="auto"/>
        <w:ind w:left="567"/>
      </w:pPr>
      <w:r w:rsidRPr="00A76890">
        <w:t>The results of the subsidiaries acquired or disposed of during the year are included in the consolidated statement of comprehensive income from the effective date of acquisition or up to the effective date of disposal, as appropriate.</w:t>
      </w:r>
    </w:p>
    <w:p w:rsidR="00AE30CF" w:rsidRPr="000301C3" w:rsidRDefault="0092140F" w:rsidP="00704CC0">
      <w:pPr>
        <w:keepNext/>
        <w:keepLines/>
        <w:numPr>
          <w:ilvl w:val="0"/>
          <w:numId w:val="1"/>
        </w:numPr>
        <w:tabs>
          <w:tab w:val="clear" w:pos="360"/>
          <w:tab w:val="left" w:pos="567"/>
          <w:tab w:val="left" w:pos="1134"/>
          <w:tab w:val="left" w:pos="1701"/>
          <w:tab w:val="left" w:pos="2268"/>
        </w:tabs>
        <w:spacing w:before="240"/>
        <w:ind w:left="567" w:hanging="567"/>
        <w:jc w:val="both"/>
        <w:rPr>
          <w:rFonts w:cs="Arial"/>
          <w:b/>
        </w:rPr>
      </w:pPr>
      <w:r w:rsidRPr="000301C3">
        <w:rPr>
          <w:rFonts w:cs="Arial"/>
          <w:b/>
        </w:rPr>
        <w:t>Investment in associates</w:t>
      </w:r>
    </w:p>
    <w:p w:rsidR="0092140F" w:rsidRPr="00A76890" w:rsidRDefault="0092140F" w:rsidP="00704CC0">
      <w:pPr>
        <w:pStyle w:val="Normal2-Para"/>
        <w:spacing w:line="240" w:lineRule="auto"/>
        <w:ind w:left="450"/>
      </w:pPr>
      <w:r w:rsidRPr="00A76890">
        <w:t>Associates are those entities over which the Group is able to exercise significant influence but which are neither subsidiaries nor joint ventures. By way of exemption under IAS 28 for venture capital organisations,</w:t>
      </w:r>
      <w:r w:rsidR="00F072B5" w:rsidRPr="00A76890">
        <w:t xml:space="preserve"> </w:t>
      </w:r>
      <w:r w:rsidRPr="00A76890">
        <w:t xml:space="preserve">the Group has designated its investments at fair value through profit or loss and accounted for in accordance with IAS 39 </w:t>
      </w:r>
      <w:r w:rsidRPr="00A76890">
        <w:rPr>
          <w:i/>
        </w:rPr>
        <w:t>Financial Instruments: Recognition and Measurement</w:t>
      </w:r>
      <w:r w:rsidRPr="00A76890">
        <w:t xml:space="preserve"> at fair value. The changes in fair value are recognised in profit or loss in the period of change.</w:t>
      </w:r>
    </w:p>
    <w:p w:rsidR="00AE30CF" w:rsidRPr="000301C3" w:rsidRDefault="0092140F" w:rsidP="00704CC0">
      <w:pPr>
        <w:keepNext/>
        <w:keepLines/>
        <w:numPr>
          <w:ilvl w:val="0"/>
          <w:numId w:val="1"/>
        </w:numPr>
        <w:tabs>
          <w:tab w:val="clear" w:pos="360"/>
          <w:tab w:val="left" w:pos="567"/>
          <w:tab w:val="left" w:pos="1134"/>
          <w:tab w:val="left" w:pos="1701"/>
          <w:tab w:val="left" w:pos="2268"/>
        </w:tabs>
        <w:spacing w:before="240"/>
        <w:ind w:left="567" w:hanging="567"/>
        <w:jc w:val="both"/>
        <w:rPr>
          <w:rFonts w:cs="Arial"/>
          <w:b/>
          <w:sz w:val="18"/>
          <w:szCs w:val="18"/>
        </w:rPr>
      </w:pPr>
      <w:r w:rsidRPr="000301C3">
        <w:rPr>
          <w:rFonts w:cs="Arial"/>
          <w:b/>
          <w:sz w:val="18"/>
          <w:szCs w:val="18"/>
        </w:rPr>
        <w:t>Foreign currency translation</w:t>
      </w:r>
    </w:p>
    <w:p w:rsidR="00611FF9" w:rsidRPr="00A76890" w:rsidRDefault="0092140F" w:rsidP="00704CC0">
      <w:pPr>
        <w:pStyle w:val="Normal2-Para"/>
        <w:spacing w:line="240" w:lineRule="auto"/>
        <w:ind w:left="567"/>
      </w:pPr>
      <w:r w:rsidRPr="00A76890">
        <w:t xml:space="preserve">The consolidated financial statements are presented in </w:t>
      </w:r>
      <w:r w:rsidR="008F2C03" w:rsidRPr="00A76890">
        <w:t>p</w:t>
      </w:r>
      <w:r w:rsidRPr="00A76890">
        <w:t xml:space="preserve">ounds </w:t>
      </w:r>
      <w:r w:rsidR="008F2C03" w:rsidRPr="00A76890">
        <w:t>s</w:t>
      </w:r>
      <w:r w:rsidRPr="00A76890">
        <w:t>terling (GBP), which is also the functional currency of the Company.</w:t>
      </w:r>
    </w:p>
    <w:p w:rsidR="0092140F" w:rsidRPr="00A76890" w:rsidRDefault="0092140F" w:rsidP="00704CC0">
      <w:pPr>
        <w:pStyle w:val="Normal2-Para"/>
        <w:spacing w:line="240" w:lineRule="auto"/>
        <w:ind w:left="567"/>
      </w:pPr>
      <w:r w:rsidRPr="00A76890">
        <w:t xml:space="preserve">Foreign currency transactions are translated into the functional currency of the respective Group entity, using the exchange rates prevailing at the dates of the transactions (spot exchange rate). Foreign exchange gains and losses resulting from the settlement of such transactions and from the </w:t>
      </w:r>
      <w:proofErr w:type="spellStart"/>
      <w:r w:rsidRPr="00A76890">
        <w:t>remeasurement</w:t>
      </w:r>
      <w:proofErr w:type="spellEnd"/>
      <w:r w:rsidRPr="00A76890">
        <w:t xml:space="preserve"> of monetary items at year-end exchange rates are recognised in profit or loss. Non-monetary items measured at historical cost are translated using the exchange rates at the date of the transaction (not retranslated). Non-monetary items measured at fair value are translated using the exchange rates at the date when fair value was determined. </w:t>
      </w:r>
    </w:p>
    <w:p w:rsidR="0092140F" w:rsidRPr="00A76890" w:rsidRDefault="0092140F" w:rsidP="00704CC0">
      <w:pPr>
        <w:pStyle w:val="Normal2-Para"/>
        <w:spacing w:line="240" w:lineRule="auto"/>
        <w:ind w:left="567"/>
      </w:pPr>
      <w:r w:rsidRPr="00A76890">
        <w:t xml:space="preserve">In the Group’s financial statements all assets, liabilities and transactions of the Group entities are presented in </w:t>
      </w:r>
      <w:r w:rsidR="008F2C03" w:rsidRPr="00A76890">
        <w:t>p</w:t>
      </w:r>
      <w:r w:rsidRPr="00A76890">
        <w:t>ounds</w:t>
      </w:r>
      <w:r w:rsidR="00F072B5" w:rsidRPr="00A76890">
        <w:t xml:space="preserve"> </w:t>
      </w:r>
      <w:r w:rsidR="008F2C03" w:rsidRPr="00A76890">
        <w:t>s</w:t>
      </w:r>
      <w:r w:rsidRPr="00A76890">
        <w:t>terling which is the functional currency of all entities within the Group. The functional currency of the entities in the Group</w:t>
      </w:r>
      <w:r w:rsidR="00F072B5" w:rsidRPr="00A76890">
        <w:t xml:space="preserve"> </w:t>
      </w:r>
      <w:r w:rsidRPr="00A76890">
        <w:t>has remained unchanged during the reporting period.</w:t>
      </w:r>
    </w:p>
    <w:p w:rsidR="0092140F" w:rsidRPr="000301C3" w:rsidRDefault="0092140F" w:rsidP="00704CC0">
      <w:pPr>
        <w:keepNext/>
        <w:keepLines/>
        <w:numPr>
          <w:ilvl w:val="0"/>
          <w:numId w:val="1"/>
        </w:numPr>
        <w:tabs>
          <w:tab w:val="clear" w:pos="360"/>
          <w:tab w:val="left" w:pos="567"/>
          <w:tab w:val="left" w:pos="1134"/>
          <w:tab w:val="left" w:pos="1701"/>
          <w:tab w:val="left" w:pos="2268"/>
        </w:tabs>
        <w:spacing w:before="240"/>
        <w:ind w:left="567" w:hanging="567"/>
        <w:rPr>
          <w:rFonts w:cs="Arial"/>
          <w:b/>
        </w:rPr>
      </w:pPr>
      <w:r w:rsidRPr="000301C3">
        <w:rPr>
          <w:rFonts w:cs="Arial"/>
          <w:b/>
        </w:rPr>
        <w:t>Revenue recognition</w:t>
      </w:r>
    </w:p>
    <w:p w:rsidR="0092140F" w:rsidRPr="00A76890" w:rsidRDefault="0092140F" w:rsidP="00704CC0">
      <w:pPr>
        <w:pStyle w:val="Normal2-Para"/>
        <w:spacing w:line="240" w:lineRule="auto"/>
        <w:ind w:left="567"/>
      </w:pPr>
      <w:r w:rsidRPr="00A76890">
        <w:t xml:space="preserve">Revenue comprises </w:t>
      </w:r>
      <w:r w:rsidR="00B22AB8" w:rsidRPr="00A76890">
        <w:t>i</w:t>
      </w:r>
      <w:r w:rsidRPr="00A76890">
        <w:t>ncome from investments</w:t>
      </w:r>
      <w:r w:rsidR="000A2583" w:rsidRPr="00A76890">
        <w:t>, interest</w:t>
      </w:r>
      <w:r w:rsidR="008D0E4E" w:rsidRPr="00A76890">
        <w:t xml:space="preserve">, </w:t>
      </w:r>
      <w:proofErr w:type="gramStart"/>
      <w:r w:rsidRPr="00A76890">
        <w:t>dividend</w:t>
      </w:r>
      <w:proofErr w:type="gramEnd"/>
      <w:r w:rsidRPr="00A76890">
        <w:t xml:space="preserve"> </w:t>
      </w:r>
      <w:r w:rsidR="008D0E4E" w:rsidRPr="00A76890">
        <w:t>and management fees.</w:t>
      </w:r>
      <w:r w:rsidRPr="00A76890">
        <w:t xml:space="preserve"> Revenue is recognised to the extent it is probable that the economic benefits will flow to the Group, the revenue can be reliably measured and when the criteria mentioned below have been met:</w:t>
      </w:r>
    </w:p>
    <w:p w:rsidR="0092140F" w:rsidRPr="00A76890" w:rsidRDefault="004C12F3" w:rsidP="00704CC0">
      <w:pPr>
        <w:pStyle w:val="Heading3-Sub-para"/>
        <w:ind w:left="567"/>
      </w:pPr>
      <w:r w:rsidRPr="00A76890">
        <w:t>Interest income</w:t>
      </w:r>
    </w:p>
    <w:p w:rsidR="0092140F" w:rsidRPr="00A76890" w:rsidRDefault="0092140F" w:rsidP="00704CC0">
      <w:pPr>
        <w:pStyle w:val="Normal3-Sub-para"/>
        <w:spacing w:line="240" w:lineRule="auto"/>
        <w:ind w:left="567"/>
      </w:pPr>
      <w:r w:rsidRPr="00A76890">
        <w:t>Interest income comprises income from treasury deposits and loans recoverable. Interest income is recognised on accrual basis using the effective interest method.</w:t>
      </w:r>
    </w:p>
    <w:p w:rsidR="0092140F" w:rsidRPr="00A76890" w:rsidRDefault="004C12F3" w:rsidP="00704CC0">
      <w:pPr>
        <w:pStyle w:val="Heading3-Sub-para"/>
        <w:ind w:left="567"/>
      </w:pPr>
      <w:r w:rsidRPr="00A76890">
        <w:t>Dividend income</w:t>
      </w:r>
    </w:p>
    <w:p w:rsidR="0092140F" w:rsidRPr="00A76890" w:rsidRDefault="0092140F" w:rsidP="00704CC0">
      <w:pPr>
        <w:pStyle w:val="Normal3-Sub-para"/>
        <w:spacing w:line="240" w:lineRule="auto"/>
        <w:ind w:left="567"/>
      </w:pPr>
      <w:r w:rsidRPr="00A76890">
        <w:t>Dividend income from investments is recognised when the entity’s right to receive payment has been established.</w:t>
      </w:r>
    </w:p>
    <w:p w:rsidR="00863596" w:rsidRPr="00A76890" w:rsidRDefault="004C12F3" w:rsidP="00704CC0">
      <w:pPr>
        <w:pStyle w:val="Heading3-Sub-para"/>
        <w:ind w:left="567"/>
      </w:pPr>
      <w:r w:rsidRPr="00A76890">
        <w:t>Management fees</w:t>
      </w:r>
    </w:p>
    <w:p w:rsidR="008D0E4E" w:rsidRPr="00A76890" w:rsidRDefault="008D0E4E" w:rsidP="00704CC0">
      <w:pPr>
        <w:pStyle w:val="Normal3-Sub-para"/>
        <w:spacing w:line="240" w:lineRule="auto"/>
        <w:ind w:left="567"/>
      </w:pPr>
      <w:r w:rsidRPr="00A76890">
        <w:t>Fees earned from the co-investment vehicle from the ongoing management of the equity funds are recogni</w:t>
      </w:r>
      <w:r w:rsidR="008F2C03" w:rsidRPr="00A76890">
        <w:t>s</w:t>
      </w:r>
      <w:r w:rsidRPr="00A76890">
        <w:t>ed to the extent that it is probable that there will be economic benefits and the income can be reliably measured.</w:t>
      </w:r>
    </w:p>
    <w:p w:rsidR="008D0E4E" w:rsidRPr="00A76890" w:rsidRDefault="004C12F3" w:rsidP="00704CC0">
      <w:pPr>
        <w:pStyle w:val="Heading3-Sub-para"/>
        <w:ind w:left="567"/>
      </w:pPr>
      <w:r w:rsidRPr="00A76890">
        <w:t>Service fees</w:t>
      </w:r>
    </w:p>
    <w:p w:rsidR="00863596" w:rsidRPr="00A76890" w:rsidRDefault="008D0E4E" w:rsidP="00704CC0">
      <w:pPr>
        <w:pStyle w:val="Normal2-Para"/>
        <w:spacing w:line="240" w:lineRule="auto"/>
        <w:ind w:left="567"/>
      </w:pPr>
      <w:r w:rsidRPr="00A76890">
        <w:t>Fees earned from the provision of support services are recogni</w:t>
      </w:r>
      <w:r w:rsidR="00CE28B3" w:rsidRPr="00A76890">
        <w:t>s</w:t>
      </w:r>
      <w:r w:rsidRPr="00A76890">
        <w:t>ed on an accrual basis in accordance with the relevant terms of the agreement in respect thereof.</w:t>
      </w:r>
    </w:p>
    <w:p w:rsidR="0092140F" w:rsidRPr="000301C3" w:rsidRDefault="0092140F" w:rsidP="00704CC0">
      <w:pPr>
        <w:keepNext/>
        <w:keepLines/>
        <w:numPr>
          <w:ilvl w:val="0"/>
          <w:numId w:val="1"/>
        </w:numPr>
        <w:tabs>
          <w:tab w:val="clear" w:pos="360"/>
          <w:tab w:val="left" w:pos="567"/>
          <w:tab w:val="left" w:pos="1134"/>
          <w:tab w:val="left" w:pos="1701"/>
          <w:tab w:val="left" w:pos="2268"/>
        </w:tabs>
        <w:spacing w:before="240"/>
        <w:ind w:left="567" w:hanging="567"/>
        <w:rPr>
          <w:rFonts w:cs="Arial"/>
          <w:b/>
        </w:rPr>
      </w:pPr>
      <w:r w:rsidRPr="000301C3">
        <w:rPr>
          <w:rFonts w:cs="Arial"/>
          <w:b/>
        </w:rPr>
        <w:t>Expenses</w:t>
      </w:r>
    </w:p>
    <w:p w:rsidR="0092140F" w:rsidRPr="000301C3" w:rsidRDefault="0092140F" w:rsidP="00704CC0">
      <w:pPr>
        <w:pStyle w:val="Normal2-Para"/>
        <w:spacing w:line="240" w:lineRule="auto"/>
        <w:ind w:left="567"/>
      </w:pPr>
      <w:r w:rsidRPr="000301C3">
        <w:t xml:space="preserve">All expenses are </w:t>
      </w:r>
      <w:r w:rsidR="00E25802" w:rsidRPr="000301C3">
        <w:t>recognise</w:t>
      </w:r>
      <w:r w:rsidR="00757025" w:rsidRPr="000301C3">
        <w:t>d</w:t>
      </w:r>
      <w:r w:rsidRPr="000301C3">
        <w:t xml:space="preserve"> on accrual basis through profit or loss.</w:t>
      </w:r>
    </w:p>
    <w:p w:rsidR="0092140F" w:rsidRPr="000301C3" w:rsidRDefault="0092140F" w:rsidP="00704CC0">
      <w:pPr>
        <w:keepNext/>
        <w:keepLines/>
        <w:numPr>
          <w:ilvl w:val="0"/>
          <w:numId w:val="1"/>
        </w:numPr>
        <w:tabs>
          <w:tab w:val="clear" w:pos="360"/>
          <w:tab w:val="left" w:pos="567"/>
          <w:tab w:val="left" w:pos="1134"/>
          <w:tab w:val="left" w:pos="1701"/>
          <w:tab w:val="left" w:pos="2268"/>
        </w:tabs>
        <w:spacing w:before="240"/>
        <w:ind w:left="0" w:firstLine="0"/>
        <w:rPr>
          <w:rFonts w:cs="Arial"/>
          <w:b/>
        </w:rPr>
      </w:pPr>
      <w:r w:rsidRPr="000301C3">
        <w:rPr>
          <w:rFonts w:cs="Arial"/>
          <w:b/>
        </w:rPr>
        <w:t>Impairment of non-financial assets</w:t>
      </w:r>
    </w:p>
    <w:p w:rsidR="0092140F" w:rsidRPr="00A76890" w:rsidRDefault="0092140F" w:rsidP="00704CC0">
      <w:pPr>
        <w:pStyle w:val="Normal2-Para"/>
        <w:spacing w:line="240" w:lineRule="auto"/>
        <w:ind w:left="567"/>
      </w:pPr>
      <w:r w:rsidRPr="00A76890">
        <w:t xml:space="preserve">For the purposes of assessing impairment, assets are grouped at the lowest levels for which there are largely independent cash inflows (cash-generating units). As a result, some assets are tested individually for impairment and some are tested at cash-generating unit level. </w:t>
      </w:r>
    </w:p>
    <w:p w:rsidR="0092140F" w:rsidRPr="00A76890" w:rsidRDefault="0092140F" w:rsidP="00704CC0">
      <w:pPr>
        <w:pStyle w:val="Normal2-Para"/>
        <w:spacing w:line="240" w:lineRule="auto"/>
        <w:ind w:left="567"/>
      </w:pPr>
      <w:r w:rsidRPr="00A76890">
        <w:t xml:space="preserve">All individual assets or cash-generating units are reviewed at each reporting date to determine whether there is any indication that those assets have suffered an impairment loss. If any such indication exists, the recoverable amount of the asset is estimated in order to determine the extent of the impairment loss, if any. </w:t>
      </w:r>
    </w:p>
    <w:p w:rsidR="0092140F" w:rsidRPr="00A76890" w:rsidRDefault="0092140F" w:rsidP="00704CC0">
      <w:pPr>
        <w:pStyle w:val="Normal2-Para"/>
        <w:spacing w:line="240" w:lineRule="auto"/>
        <w:ind w:left="567"/>
      </w:pPr>
      <w:r w:rsidRPr="00A76890">
        <w:t xml:space="preserve">An impairment loss is recognised for the amount by which the asset's or cash-generating unit's carrying amount exceeds its recoverable amount. Recoverable amount is the higher of fair value less costs to sell and value in use. In assessing value in use, the estimated future cash flows are discounted to their present value using a pre-tax discount rate that reflects current market assessments of the time value of money and the risks specific to the asset for which the estimates of future cash flows have not been adjusted. </w:t>
      </w:r>
    </w:p>
    <w:p w:rsidR="0092140F" w:rsidRPr="00A76890" w:rsidRDefault="0092140F" w:rsidP="00704CC0">
      <w:pPr>
        <w:pStyle w:val="Normal2-Para"/>
        <w:spacing w:line="240" w:lineRule="auto"/>
        <w:ind w:left="567"/>
        <w:rPr>
          <w:b/>
        </w:rPr>
      </w:pPr>
      <w:r w:rsidRPr="00A76890">
        <w:t>An impairment loss is recognised as an expense and disclosed as a separate line item in the statement of comprehensive income. Where an impairment loss subsequently reverses, the carrying amount of the asset is increased to the revised estimate of its recoverable amount, but so that the increased carrying amount does not exceed the carrying amount that would have been determined had no impairment loss been recognised for the asset in prior years.</w:t>
      </w:r>
    </w:p>
    <w:p w:rsidR="0092140F" w:rsidRPr="000301C3" w:rsidRDefault="0092140F" w:rsidP="00704CC0">
      <w:pPr>
        <w:keepNext/>
        <w:keepLines/>
        <w:numPr>
          <w:ilvl w:val="0"/>
          <w:numId w:val="1"/>
        </w:numPr>
        <w:tabs>
          <w:tab w:val="clear" w:pos="360"/>
          <w:tab w:val="left" w:pos="567"/>
          <w:tab w:val="left" w:pos="1134"/>
          <w:tab w:val="left" w:pos="1701"/>
          <w:tab w:val="left" w:pos="2268"/>
        </w:tabs>
        <w:spacing w:before="240"/>
        <w:ind w:left="0" w:firstLine="0"/>
        <w:rPr>
          <w:rFonts w:cs="Arial"/>
          <w:b/>
        </w:rPr>
      </w:pPr>
      <w:r w:rsidRPr="000301C3">
        <w:rPr>
          <w:rFonts w:cs="Arial"/>
          <w:b/>
        </w:rPr>
        <w:t>Income taxes</w:t>
      </w:r>
    </w:p>
    <w:p w:rsidR="0092140F" w:rsidRPr="00A76890" w:rsidRDefault="0092140F" w:rsidP="00704CC0">
      <w:pPr>
        <w:pStyle w:val="Normal2-Para"/>
        <w:spacing w:line="240" w:lineRule="auto"/>
        <w:ind w:left="567"/>
      </w:pPr>
      <w:r w:rsidRPr="00A76890">
        <w:t>Tax expense recognised in profit or loss comprises the sum of deferred tax and current tax, not recognised in other comprehensive income or directly in equity.</w:t>
      </w:r>
    </w:p>
    <w:p w:rsidR="0092140F" w:rsidRPr="00A76890" w:rsidRDefault="0092140F" w:rsidP="00704CC0">
      <w:pPr>
        <w:pStyle w:val="Normal2-Para"/>
        <w:spacing w:line="240" w:lineRule="auto"/>
        <w:ind w:left="567"/>
      </w:pPr>
      <w:r w:rsidRPr="00A76890">
        <w:t>Current income tax assets and/or liabilities comprise those obligations to, or claims from, fiscal authorities relating to the current or prior reporting periods, that are unpaid at the reporting date. Current tax is payable on taxable profit, which differs from profit or loss in the financial statements. Calculation of current tax is based on tax rates and tax laws applicable in each jurisdiction and that have been enacted or substantively enacted by the end of the reporting period.</w:t>
      </w:r>
    </w:p>
    <w:p w:rsidR="0092140F" w:rsidRPr="00A76890" w:rsidRDefault="0092140F" w:rsidP="00704CC0">
      <w:pPr>
        <w:pStyle w:val="Normal2-Para"/>
        <w:spacing w:line="240" w:lineRule="auto"/>
        <w:ind w:left="567"/>
      </w:pPr>
      <w:r w:rsidRPr="00A76890">
        <w:t xml:space="preserve">Deferred income taxes are calculated using the </w:t>
      </w:r>
      <w:r w:rsidR="007962B4" w:rsidRPr="00A76890">
        <w:t xml:space="preserve">balance sheet </w:t>
      </w:r>
      <w:r w:rsidR="004C12F3" w:rsidRPr="00A76890">
        <w:t>liability method</w:t>
      </w:r>
      <w:r w:rsidRPr="00A76890">
        <w:t xml:space="preserve"> on temporary differences between the carrying amounts of assets and liabilities and their tax bases. Deferred tax assets and liabilities are calculated, without discounting, at tax rates that are expected to apply to their respective period of realisation, provided they are enacted or substantively enacted by the end of the reporting period. Deferred tax liabilities are always provided for in full. Deferred tax assets are recognised to the extent that it is probable that they will be able to be utilised against future taxable income. Deferred tax assets and liabilities are offset only when the Group has a right and intention to set off current tax assets and liabilities from the same taxation authority.</w:t>
      </w:r>
    </w:p>
    <w:p w:rsidR="0092140F" w:rsidRPr="00A76890" w:rsidRDefault="0092140F" w:rsidP="00704CC0">
      <w:pPr>
        <w:pStyle w:val="Normal2-Para"/>
        <w:spacing w:line="240" w:lineRule="auto"/>
        <w:ind w:left="567"/>
      </w:pPr>
      <w:r w:rsidRPr="00A76890">
        <w:t>Changes in deferred tax assets or liabilities are recognised as a component of tax income or expense in profit or loss, except where they relate to items that are recognised</w:t>
      </w:r>
      <w:r w:rsidR="00F072B5" w:rsidRPr="00A76890">
        <w:t xml:space="preserve"> </w:t>
      </w:r>
      <w:r w:rsidRPr="00A76890">
        <w:t>in other comprehensive income or directly in equity, in which case the related deferred tax is also recognised in other comprehensive income or directly in equity, respectively.</w:t>
      </w:r>
    </w:p>
    <w:p w:rsidR="0092140F" w:rsidRPr="000301C3" w:rsidRDefault="0092140F" w:rsidP="00704CC0">
      <w:pPr>
        <w:keepNext/>
        <w:keepLines/>
        <w:numPr>
          <w:ilvl w:val="0"/>
          <w:numId w:val="1"/>
        </w:numPr>
        <w:tabs>
          <w:tab w:val="clear" w:pos="360"/>
          <w:tab w:val="left" w:pos="567"/>
          <w:tab w:val="left" w:pos="1134"/>
          <w:tab w:val="left" w:pos="1701"/>
          <w:tab w:val="left" w:pos="2268"/>
        </w:tabs>
        <w:spacing w:before="240"/>
        <w:ind w:left="567" w:hanging="567"/>
        <w:rPr>
          <w:rFonts w:cs="Arial"/>
          <w:b/>
        </w:rPr>
      </w:pPr>
      <w:r w:rsidRPr="000301C3">
        <w:rPr>
          <w:rFonts w:cs="Arial"/>
          <w:b/>
        </w:rPr>
        <w:t>Investment in subsidiaries</w:t>
      </w:r>
    </w:p>
    <w:p w:rsidR="00D23383" w:rsidRPr="00A76890" w:rsidRDefault="0092140F" w:rsidP="00704CC0">
      <w:pPr>
        <w:pStyle w:val="Normal2-Para"/>
        <w:spacing w:line="240" w:lineRule="auto"/>
        <w:ind w:left="567"/>
        <w:rPr>
          <w:b/>
        </w:rPr>
      </w:pPr>
      <w:r w:rsidRPr="00A76890">
        <w:t xml:space="preserve">Investments in subsidiaries are valued at cost less provision for impairment in the financial statements of the </w:t>
      </w:r>
      <w:proofErr w:type="spellStart"/>
      <w:r w:rsidRPr="00A76890">
        <w:t>Company</w:t>
      </w:r>
      <w:r w:rsidR="00052D9D" w:rsidRPr="00A76890">
        <w:t>.</w:t>
      </w:r>
      <w:r w:rsidR="00D23383" w:rsidRPr="00A76890">
        <w:t>In</w:t>
      </w:r>
      <w:proofErr w:type="spellEnd"/>
      <w:r w:rsidR="00D23383" w:rsidRPr="00A76890">
        <w:t xml:space="preserve"> case of buyback of shares by subsidiaries, carrying value of the investment is proportionally credited for the number of shares bought back by the subsidiary and any difference between the buyback price and carrying value is recorded in the profit or loss.</w:t>
      </w:r>
    </w:p>
    <w:p w:rsidR="0092140F" w:rsidRPr="000301C3" w:rsidRDefault="0092140F" w:rsidP="00704CC0">
      <w:pPr>
        <w:keepNext/>
        <w:keepLines/>
        <w:numPr>
          <w:ilvl w:val="0"/>
          <w:numId w:val="1"/>
        </w:numPr>
        <w:tabs>
          <w:tab w:val="clear" w:pos="360"/>
          <w:tab w:val="left" w:pos="567"/>
          <w:tab w:val="left" w:pos="1134"/>
          <w:tab w:val="left" w:pos="1701"/>
          <w:tab w:val="left" w:pos="2268"/>
        </w:tabs>
        <w:spacing w:before="240"/>
        <w:ind w:left="567" w:hanging="567"/>
        <w:rPr>
          <w:rFonts w:cs="Arial"/>
          <w:b/>
        </w:rPr>
      </w:pPr>
      <w:r w:rsidRPr="000301C3">
        <w:rPr>
          <w:rFonts w:cs="Arial"/>
          <w:b/>
        </w:rPr>
        <w:t>Financial instruments</w:t>
      </w:r>
    </w:p>
    <w:p w:rsidR="0092140F" w:rsidRPr="00A76890" w:rsidRDefault="0092140F" w:rsidP="00704CC0">
      <w:pPr>
        <w:pStyle w:val="Normal2-Para"/>
        <w:spacing w:line="240" w:lineRule="auto"/>
        <w:ind w:left="567"/>
      </w:pPr>
      <w:r w:rsidRPr="00A76890">
        <w:t>Financial assets and financial liabilities are recognised when the Group becomes a party to the contractual provisions of the financial instrument. Financial assets are de-recognised when the contractual rights to the cash flows from the financial asset expire, or when the financial asset and all substantial risks and rewards are transferred. A financial liability is de-recognised when it is extinguished, discharged, cancelled or expires.</w:t>
      </w:r>
    </w:p>
    <w:p w:rsidR="0092140F" w:rsidRPr="00A76890" w:rsidRDefault="0092140F" w:rsidP="00704CC0">
      <w:pPr>
        <w:pStyle w:val="Normal2-Para"/>
        <w:spacing w:line="240" w:lineRule="auto"/>
        <w:ind w:left="567"/>
      </w:pPr>
      <w:r w:rsidRPr="00A76890">
        <w:t>Financial assets and financial liabilities are measured initially at fair value plus transactions costs except for financial assets and financial liabilities carried at fair value through profit or loss which are measured initially at fair value and transaction costs are charged to profit or loss.</w:t>
      </w:r>
    </w:p>
    <w:p w:rsidR="0092140F" w:rsidRPr="00A76890" w:rsidRDefault="0092140F" w:rsidP="00704CC0">
      <w:pPr>
        <w:pStyle w:val="Normal2-Para"/>
        <w:spacing w:line="240" w:lineRule="auto"/>
        <w:ind w:left="567"/>
      </w:pPr>
      <w:r w:rsidRPr="00A76890">
        <w:t>Subsequent measurement criteria of financial assets and financial liabilities are described below:</w:t>
      </w:r>
    </w:p>
    <w:p w:rsidR="0092140F" w:rsidRPr="00A76890" w:rsidRDefault="0092140F" w:rsidP="00704CC0">
      <w:pPr>
        <w:pStyle w:val="Heading3-Sub-para"/>
        <w:ind w:left="567"/>
      </w:pPr>
      <w:r w:rsidRPr="00A76890">
        <w:t>Financial assets</w:t>
      </w:r>
    </w:p>
    <w:p w:rsidR="0092140F" w:rsidRPr="00A76890" w:rsidRDefault="0092140F" w:rsidP="00704CC0">
      <w:pPr>
        <w:pStyle w:val="Normal3-Sub-para"/>
        <w:spacing w:line="240" w:lineRule="auto"/>
        <w:ind w:left="567"/>
      </w:pPr>
      <w:r w:rsidRPr="00A76890">
        <w:t xml:space="preserve">For the purpose of subsequent measurement, the Group’s financial assets can be classified into the following categories upon initial recognition: </w:t>
      </w:r>
    </w:p>
    <w:p w:rsidR="0092140F" w:rsidRPr="00A76890" w:rsidRDefault="0092140F" w:rsidP="00704CC0">
      <w:pPr>
        <w:pStyle w:val="Normal3-Sub-para"/>
        <w:numPr>
          <w:ilvl w:val="0"/>
          <w:numId w:val="16"/>
        </w:numPr>
        <w:spacing w:line="240" w:lineRule="auto"/>
        <w:ind w:left="1134" w:hanging="567"/>
      </w:pPr>
      <w:r w:rsidRPr="00A76890">
        <w:t>loans and receivables; and</w:t>
      </w:r>
    </w:p>
    <w:p w:rsidR="0092140F" w:rsidRPr="00A76890" w:rsidRDefault="0092140F" w:rsidP="00704CC0">
      <w:pPr>
        <w:pStyle w:val="Normal3-Sub-para"/>
        <w:numPr>
          <w:ilvl w:val="0"/>
          <w:numId w:val="16"/>
        </w:numPr>
        <w:spacing w:line="240" w:lineRule="auto"/>
        <w:ind w:left="1134" w:hanging="567"/>
      </w:pPr>
      <w:r w:rsidRPr="00A76890">
        <w:t xml:space="preserve">financial assets at fair value through profit or loss </w:t>
      </w:r>
    </w:p>
    <w:p w:rsidR="0092140F" w:rsidRPr="00A76890" w:rsidRDefault="0092140F" w:rsidP="00704CC0">
      <w:pPr>
        <w:pStyle w:val="Heading3-Sub-para"/>
        <w:ind w:left="567"/>
      </w:pPr>
      <w:r w:rsidRPr="00A76890">
        <w:t>Loans and receivables</w:t>
      </w:r>
    </w:p>
    <w:p w:rsidR="0092140F" w:rsidRPr="00A76890" w:rsidRDefault="0092140F" w:rsidP="00704CC0">
      <w:pPr>
        <w:pStyle w:val="Normal3-Sub-para"/>
        <w:spacing w:line="240" w:lineRule="auto"/>
        <w:ind w:left="567"/>
      </w:pPr>
      <w:r w:rsidRPr="00A76890">
        <w:t>Loans and receivables are non-derivative financial assets with fixed or determinable payments that are not quoted in an active market. After initial recognition these are measured at amortised cost using the effective interest method, less provision for impairment. Discounting is omitted where the effect of discounting is immaterial. The Group’s cash and cash equivalents, trade and other receivables fall into this category of financial instruments.</w:t>
      </w:r>
    </w:p>
    <w:p w:rsidR="0092140F" w:rsidRPr="00A76890" w:rsidRDefault="0092140F" w:rsidP="00704CC0">
      <w:pPr>
        <w:pStyle w:val="Normal3-Sub-para"/>
        <w:spacing w:line="240" w:lineRule="auto"/>
        <w:ind w:left="567"/>
        <w:rPr>
          <w:i/>
        </w:rPr>
      </w:pPr>
      <w:r w:rsidRPr="00A76890">
        <w:t>All loans and receivables are subject to review for impairment at least at each reporting date. Further, individually significant loans and receivables are considered for impairment when they are past due or when there is other objective evidence that a specific counterparty will default. Impairment is evaluated by comparison of the carrying value to expected cash flows discounted by original effective interest rate (which is computed at the initial recognition).</w:t>
      </w:r>
    </w:p>
    <w:p w:rsidR="0092140F" w:rsidRPr="009E5DE7" w:rsidRDefault="0092140F" w:rsidP="00704CC0">
      <w:pPr>
        <w:pStyle w:val="Heading3-Sub-para"/>
        <w:ind w:left="567"/>
      </w:pPr>
      <w:r w:rsidRPr="009E5DE7">
        <w:t>Financial assets at fair value through profit or loss</w:t>
      </w:r>
    </w:p>
    <w:p w:rsidR="0092140F" w:rsidRPr="00A76890" w:rsidRDefault="0092140F" w:rsidP="00704CC0">
      <w:pPr>
        <w:pStyle w:val="Normal3-Sub-para"/>
        <w:spacing w:line="240" w:lineRule="auto"/>
        <w:ind w:left="567"/>
      </w:pPr>
      <w:r w:rsidRPr="00A76890">
        <w:t>Financial assets at fair value through profit or loss include financial assets that are either classified as held for trading or that meet certain conditions and are designated at fair value through profit or loss upon initial recognition. The Company’s and the Group’s business is investing in financial assets with a view to profiting from their total return in the form of income and capital growth. This portfolio of financial assets is managed and its performance evaluated on a fair value basis, in accordance with the documented investment strategy, and information about the portfolio is provided internally on that basis to the Company’s</w:t>
      </w:r>
      <w:r w:rsidR="009A2637" w:rsidRPr="00A76890">
        <w:t xml:space="preserve"> </w:t>
      </w:r>
      <w:r w:rsidR="008A333C" w:rsidRPr="00A76890">
        <w:t>B</w:t>
      </w:r>
      <w:r w:rsidRPr="00A76890">
        <w:t xml:space="preserve">oard of </w:t>
      </w:r>
      <w:r w:rsidR="0086527C" w:rsidRPr="00A76890">
        <w:t>D</w:t>
      </w:r>
      <w:r w:rsidRPr="00A76890">
        <w:t xml:space="preserve">irectors and other key management personnel. Accordingly, upon initial recognition the investments are designated by the Company and its subsidiaries as “at fair value through profit or loss”. They are included initially at fair value, which is taken to be their cost (excluding expenses incidental to the acquisition which are written off in the statement of comprehensive income). Subsequently, the investments are valued at </w:t>
      </w:r>
      <w:r w:rsidR="0000770E" w:rsidRPr="00A76890">
        <w:t>‘‘</w:t>
      </w:r>
      <w:r w:rsidRPr="00A76890">
        <w:t>fair value</w:t>
      </w:r>
      <w:r w:rsidR="0000770E" w:rsidRPr="00A76890">
        <w:t>’’</w:t>
      </w:r>
      <w:r w:rsidRPr="00A76890">
        <w:t xml:space="preserve"> with gains or losses recognised in profit or loss. Fair value of such investments is determined by reference to active market transactions or using a valuation technique where no active market exists which is done in accordance with IAS 39 and the International Private Equity and Venture Capital Association valuation guidelines.</w:t>
      </w:r>
    </w:p>
    <w:p w:rsidR="0092140F" w:rsidRPr="00A76890" w:rsidRDefault="0092140F" w:rsidP="00704CC0">
      <w:pPr>
        <w:pStyle w:val="Normal3-Sub-para"/>
        <w:spacing w:line="240" w:lineRule="auto"/>
        <w:ind w:left="567"/>
      </w:pPr>
      <w:r w:rsidRPr="00A76890">
        <w:t xml:space="preserve">For investments in associate undertakings, in accordance with the limited exemption available under IAS </w:t>
      </w:r>
      <w:r w:rsidR="00B22AB8" w:rsidRPr="00A76890">
        <w:t xml:space="preserve">28 </w:t>
      </w:r>
      <w:r w:rsidRPr="00A76890">
        <w:t>to private equity/ venture capitalist organisation for investments in associates which upon initial recognition are designated at fair value through profit or loss, the investments are accounted at fair value through profit or loss.</w:t>
      </w:r>
    </w:p>
    <w:p w:rsidR="0092140F" w:rsidRPr="00A76890" w:rsidRDefault="0092140F" w:rsidP="00704CC0">
      <w:pPr>
        <w:pStyle w:val="Normal3-Sub-para"/>
        <w:spacing w:line="240" w:lineRule="auto"/>
        <w:ind w:left="567"/>
      </w:pPr>
      <w:r w:rsidRPr="00A76890">
        <w:t>All income</w:t>
      </w:r>
      <w:r w:rsidR="00AE06C8" w:rsidRPr="00A76890">
        <w:t>s</w:t>
      </w:r>
      <w:r w:rsidRPr="00A76890">
        <w:t xml:space="preserve"> and expenses relating to financial assets that are recognised in profit or loss are presented within '</w:t>
      </w:r>
      <w:r w:rsidR="008442DF" w:rsidRPr="00A76890">
        <w:t>net losses/ gains on financial assets at fair value through profit or loss’</w:t>
      </w:r>
      <w:r w:rsidRPr="00A76890">
        <w:t xml:space="preserve">, </w:t>
      </w:r>
      <w:r w:rsidR="0000770E" w:rsidRPr="00A76890">
        <w:t>“</w:t>
      </w:r>
      <w:r w:rsidRPr="00A76890">
        <w:t>Investment and other income</w:t>
      </w:r>
      <w:r w:rsidR="0000770E" w:rsidRPr="00A76890">
        <w:t>”</w:t>
      </w:r>
      <w:r w:rsidRPr="00A76890">
        <w:t xml:space="preserve"> or </w:t>
      </w:r>
      <w:r w:rsidR="0000770E" w:rsidRPr="00A76890">
        <w:t>“</w:t>
      </w:r>
      <w:r w:rsidRPr="00A76890">
        <w:t>other financial items</w:t>
      </w:r>
      <w:r w:rsidR="0000770E" w:rsidRPr="00A76890">
        <w:t>”</w:t>
      </w:r>
      <w:r w:rsidRPr="00A76890">
        <w:t xml:space="preserve">, except for impairment of receivables which is presented as a separate line item on the face of the </w:t>
      </w:r>
      <w:r w:rsidR="008442DF" w:rsidRPr="00A76890">
        <w:t>Statement of Comprehensive I</w:t>
      </w:r>
      <w:r w:rsidRPr="00A76890">
        <w:t>ncome.</w:t>
      </w:r>
    </w:p>
    <w:p w:rsidR="00B11CF1" w:rsidRPr="00A76890" w:rsidRDefault="0092140F" w:rsidP="00704CC0">
      <w:pPr>
        <w:pStyle w:val="Heading3-Sub-para"/>
        <w:ind w:left="522"/>
      </w:pPr>
      <w:r w:rsidRPr="00A76890">
        <w:t>Financial liabilities</w:t>
      </w:r>
    </w:p>
    <w:p w:rsidR="0092140F" w:rsidRPr="00A76890" w:rsidRDefault="0092140F" w:rsidP="00704CC0">
      <w:pPr>
        <w:pStyle w:val="Normal3-Sub-para"/>
        <w:spacing w:line="240" w:lineRule="auto"/>
        <w:ind w:left="522"/>
      </w:pPr>
      <w:r w:rsidRPr="00A76890">
        <w:t>The Company's financial liabilities include trade and other payables which are measured subsequently at amorti</w:t>
      </w:r>
      <w:r w:rsidR="0086527C" w:rsidRPr="00A76890">
        <w:t>s</w:t>
      </w:r>
      <w:r w:rsidRPr="00A76890">
        <w:t>ed cost using the effective interest method.</w:t>
      </w:r>
    </w:p>
    <w:p w:rsidR="0092140F" w:rsidRPr="009E5DE7" w:rsidRDefault="0092140F" w:rsidP="00704CC0">
      <w:pPr>
        <w:keepNext/>
        <w:keepLines/>
        <w:numPr>
          <w:ilvl w:val="0"/>
          <w:numId w:val="1"/>
        </w:numPr>
        <w:tabs>
          <w:tab w:val="clear" w:pos="360"/>
          <w:tab w:val="left" w:pos="567"/>
          <w:tab w:val="left" w:pos="1134"/>
          <w:tab w:val="left" w:pos="1701"/>
          <w:tab w:val="left" w:pos="2268"/>
        </w:tabs>
        <w:spacing w:before="240"/>
        <w:ind w:left="567" w:hanging="567"/>
        <w:rPr>
          <w:rFonts w:cs="Arial"/>
          <w:b/>
        </w:rPr>
      </w:pPr>
      <w:r w:rsidRPr="009E5DE7">
        <w:rPr>
          <w:rFonts w:cs="Arial"/>
          <w:b/>
        </w:rPr>
        <w:t xml:space="preserve">Cash and cash equivalents </w:t>
      </w:r>
    </w:p>
    <w:p w:rsidR="0092140F" w:rsidRPr="009E5DE7" w:rsidRDefault="0092140F" w:rsidP="00704CC0">
      <w:pPr>
        <w:pStyle w:val="Normal2-Para"/>
        <w:spacing w:line="240" w:lineRule="auto"/>
        <w:ind w:left="567"/>
      </w:pPr>
      <w:r w:rsidRPr="009E5DE7">
        <w:t>Cash and cash equivalents comprise balance with banks and demand deposits which are readily convertible to known amounts of cash and are subject to insignificant risk of change in value.</w:t>
      </w:r>
    </w:p>
    <w:p w:rsidR="0092140F" w:rsidRPr="009E5DE7" w:rsidRDefault="0092140F" w:rsidP="00704CC0">
      <w:pPr>
        <w:keepNext/>
        <w:keepLines/>
        <w:numPr>
          <w:ilvl w:val="0"/>
          <w:numId w:val="1"/>
        </w:numPr>
        <w:tabs>
          <w:tab w:val="clear" w:pos="360"/>
          <w:tab w:val="left" w:pos="567"/>
          <w:tab w:val="left" w:pos="1134"/>
          <w:tab w:val="left" w:pos="1701"/>
          <w:tab w:val="left" w:pos="2268"/>
        </w:tabs>
        <w:spacing w:before="240"/>
        <w:ind w:left="567" w:hanging="567"/>
        <w:rPr>
          <w:rFonts w:cs="Arial"/>
        </w:rPr>
      </w:pPr>
      <w:r w:rsidRPr="009E5DE7">
        <w:rPr>
          <w:rFonts w:cs="Arial"/>
          <w:b/>
        </w:rPr>
        <w:t xml:space="preserve">Equity and reserves </w:t>
      </w:r>
    </w:p>
    <w:p w:rsidR="0092140F" w:rsidRPr="00A76890" w:rsidRDefault="0092140F" w:rsidP="00704CC0">
      <w:pPr>
        <w:pStyle w:val="Normal2-Para"/>
        <w:spacing w:line="240" w:lineRule="auto"/>
        <w:ind w:left="567"/>
      </w:pPr>
      <w:r w:rsidRPr="00A76890">
        <w:t>Share capital represents the nominal value of shares that have been issued. All shares are equally eligible to receive dividends and the repayment of capital and represent one vote each at the shareholders' meetings of the Company.</w:t>
      </w:r>
    </w:p>
    <w:p w:rsidR="0092140F" w:rsidRPr="00A76890" w:rsidRDefault="0092140F" w:rsidP="00704CC0">
      <w:pPr>
        <w:pStyle w:val="Normal2-Para"/>
        <w:spacing w:line="240" w:lineRule="auto"/>
        <w:ind w:left="567"/>
      </w:pPr>
      <w:r w:rsidRPr="00A76890">
        <w:t>Share premium includes any premium received on issue of share capital. Any transaction costs associated with the issuing of shares are deducted from share premium, net of any related income tax benefits.</w:t>
      </w:r>
    </w:p>
    <w:p w:rsidR="0092140F" w:rsidRPr="00A76890" w:rsidRDefault="0092140F" w:rsidP="00704CC0">
      <w:pPr>
        <w:pStyle w:val="Normal2-Para"/>
        <w:spacing w:line="240" w:lineRule="auto"/>
        <w:ind w:left="567"/>
      </w:pPr>
      <w:r w:rsidRPr="00A76890">
        <w:t xml:space="preserve">Distributable capital reserve is a specified reserve created by reclassifying the </w:t>
      </w:r>
      <w:r w:rsidR="004436CC" w:rsidRPr="00A76890">
        <w:t xml:space="preserve">part of the </w:t>
      </w:r>
      <w:r w:rsidR="00807361" w:rsidRPr="00A76890">
        <w:t>Company’s share</w:t>
      </w:r>
      <w:r w:rsidRPr="00A76890">
        <w:t xml:space="preserve"> premium account for </w:t>
      </w:r>
      <w:r w:rsidR="004436CC" w:rsidRPr="00A76890">
        <w:t xml:space="preserve">a </w:t>
      </w:r>
      <w:r w:rsidRPr="00A76890">
        <w:t xml:space="preserve">reduction in </w:t>
      </w:r>
      <w:r w:rsidR="004436CC" w:rsidRPr="00A76890">
        <w:t xml:space="preserve">the </w:t>
      </w:r>
      <w:r w:rsidRPr="00A76890">
        <w:t>share capital of the Company through buy-back of its own shares.</w:t>
      </w:r>
      <w:r w:rsidR="008442DF" w:rsidRPr="00A76890">
        <w:t xml:space="preserve"> The reserve has been created for the distribution of capital to the equity shareholders</w:t>
      </w:r>
      <w:r w:rsidR="004436CC" w:rsidRPr="00A76890">
        <w:t>.</w:t>
      </w:r>
    </w:p>
    <w:p w:rsidR="0092140F" w:rsidRPr="00A76890" w:rsidRDefault="0092140F" w:rsidP="00704CC0">
      <w:pPr>
        <w:pStyle w:val="Normal2-Para"/>
        <w:spacing w:line="240" w:lineRule="auto"/>
        <w:ind w:left="567"/>
      </w:pPr>
      <w:r w:rsidRPr="00A76890">
        <w:t>Retained earnings/accumulated losses include all current and prior period retained net profits or losses. All transactions with owners of the parent are recorded separately within equity.</w:t>
      </w:r>
    </w:p>
    <w:p w:rsidR="0092140F" w:rsidRPr="00A76890" w:rsidRDefault="0092140F" w:rsidP="00704CC0">
      <w:pPr>
        <w:pStyle w:val="Normal2-Para"/>
        <w:spacing w:line="240" w:lineRule="auto"/>
        <w:ind w:left="567"/>
      </w:pPr>
      <w:r w:rsidRPr="00A76890">
        <w:t xml:space="preserve">Gain or loss to the extent unrealised is transferred from retained earnings to </w:t>
      </w:r>
      <w:r w:rsidR="0086527C" w:rsidRPr="00A76890">
        <w:t>“</w:t>
      </w:r>
      <w:r w:rsidRPr="00A76890">
        <w:t>Unrealised investment revaluation reserve</w:t>
      </w:r>
      <w:r w:rsidR="0086527C" w:rsidRPr="00A76890">
        <w:t>”</w:t>
      </w:r>
      <w:r w:rsidRPr="00A76890">
        <w:t xml:space="preserve"> and is transferred to retained earnings upon realisation.</w:t>
      </w:r>
    </w:p>
    <w:p w:rsidR="0092140F" w:rsidRPr="009E5DE7" w:rsidRDefault="0092140F" w:rsidP="00704CC0">
      <w:pPr>
        <w:keepNext/>
        <w:keepLines/>
        <w:numPr>
          <w:ilvl w:val="0"/>
          <w:numId w:val="1"/>
        </w:numPr>
        <w:tabs>
          <w:tab w:val="clear" w:pos="360"/>
          <w:tab w:val="left" w:pos="567"/>
          <w:tab w:val="left" w:pos="1134"/>
          <w:tab w:val="left" w:pos="1701"/>
          <w:tab w:val="left" w:pos="2268"/>
        </w:tabs>
        <w:spacing w:before="240"/>
        <w:ind w:left="567" w:hanging="567"/>
        <w:rPr>
          <w:rFonts w:cs="Arial"/>
          <w:b/>
        </w:rPr>
      </w:pPr>
      <w:r w:rsidRPr="009E5DE7">
        <w:rPr>
          <w:rFonts w:cs="Arial"/>
          <w:b/>
        </w:rPr>
        <w:t>Provisions, contingent liabilities and contingent assets</w:t>
      </w:r>
    </w:p>
    <w:p w:rsidR="0092140F" w:rsidRPr="00A76890" w:rsidRDefault="0092140F" w:rsidP="00704CC0">
      <w:pPr>
        <w:pStyle w:val="Normal2-Para"/>
        <w:spacing w:line="240" w:lineRule="auto"/>
        <w:ind w:left="567"/>
      </w:pPr>
      <w:r w:rsidRPr="00A76890">
        <w:t>Provisions are recognised when there is a present obligation as a result of a past event that probably will require an outflow of resources and a reliable estimate of the amount of the obligation can be made. A present obligation arises from the presence of a legal or other constructive commitment that has resulted from past events. Provisions are measured at the estimated expenditure required to settle the present obligation, based on most reliable evidence available at the reporting date.</w:t>
      </w:r>
    </w:p>
    <w:p w:rsidR="0092140F" w:rsidRPr="00A76890" w:rsidRDefault="0092140F" w:rsidP="00704CC0">
      <w:pPr>
        <w:pStyle w:val="Normal2-Para"/>
        <w:spacing w:line="240" w:lineRule="auto"/>
        <w:ind w:left="567"/>
      </w:pPr>
      <w:r w:rsidRPr="00A76890">
        <w:t>A disclosure for a contingent liability is made when there is a present obligation that may, but probably will not, require an outflow of resources. Disclosure is also made in respect of a present obligation as a result of a past event that probably requires an outflow of resource, where it is not possible to make a reliable estimate of the outflow. Where there is a present obligation in respect of which the likelihood of outflow of resources is remote, no provision or disclosure is made.</w:t>
      </w:r>
    </w:p>
    <w:p w:rsidR="0092140F" w:rsidRPr="00A76890" w:rsidRDefault="0092140F" w:rsidP="00704CC0">
      <w:pPr>
        <w:pStyle w:val="Normal2-Para"/>
        <w:spacing w:line="240" w:lineRule="auto"/>
        <w:ind w:left="567"/>
      </w:pPr>
      <w:r w:rsidRPr="00A76890">
        <w:t>Contingent assets are not recognised in the financial statements.  However, contingent assets are assessed continually and if it is virtually certain that an inflow of economic benefits will arise, the asset and related income are recognised in the period in which the change occurs.</w:t>
      </w:r>
    </w:p>
    <w:p w:rsidR="0092140F" w:rsidRPr="009E5DE7" w:rsidRDefault="0092140F" w:rsidP="00704CC0">
      <w:pPr>
        <w:keepNext/>
        <w:keepLines/>
        <w:numPr>
          <w:ilvl w:val="0"/>
          <w:numId w:val="1"/>
        </w:numPr>
        <w:tabs>
          <w:tab w:val="clear" w:pos="360"/>
          <w:tab w:val="left" w:pos="567"/>
          <w:tab w:val="left" w:pos="1134"/>
          <w:tab w:val="left" w:pos="1701"/>
          <w:tab w:val="left" w:pos="2268"/>
        </w:tabs>
        <w:spacing w:before="240"/>
        <w:ind w:left="567" w:hanging="567"/>
        <w:jc w:val="both"/>
        <w:rPr>
          <w:rFonts w:cs="Arial"/>
          <w:b/>
        </w:rPr>
      </w:pPr>
      <w:r w:rsidRPr="009E5DE7">
        <w:rPr>
          <w:rFonts w:cs="Arial"/>
          <w:b/>
        </w:rPr>
        <w:t>Earnings per share</w:t>
      </w:r>
    </w:p>
    <w:p w:rsidR="0092140F" w:rsidRPr="00A76890" w:rsidRDefault="0092140F" w:rsidP="00704CC0">
      <w:pPr>
        <w:pStyle w:val="Normal2-Para"/>
        <w:spacing w:line="240" w:lineRule="auto"/>
        <w:ind w:left="567"/>
      </w:pPr>
      <w:r w:rsidRPr="00A76890">
        <w:t xml:space="preserve">Basic earnings per share are calculated by dividing the net profit or loss (after deducting </w:t>
      </w:r>
      <w:proofErr w:type="gramStart"/>
      <w:r w:rsidRPr="00A76890">
        <w:t>attributable</w:t>
      </w:r>
      <w:proofErr w:type="gramEnd"/>
      <w:r w:rsidRPr="00A76890">
        <w:t xml:space="preserve"> taxes) for the period attributable to equity shareholders by the weighted average number of equity shares outstanding during the period. Partly paid equity shares are treated as a fraction of an equity share to the extent that they were entitled to participate in dividends relative to a fully paid equity share during the reporting period.</w:t>
      </w:r>
    </w:p>
    <w:p w:rsidR="00863596" w:rsidRPr="00A76890" w:rsidRDefault="00AA4E53" w:rsidP="00704CC0">
      <w:pPr>
        <w:pStyle w:val="Heading2-Para"/>
      </w:pPr>
      <w:r w:rsidRPr="00A76890">
        <w:t xml:space="preserve">5.  </w:t>
      </w:r>
      <w:r w:rsidR="009E5DE7">
        <w:tab/>
      </w:r>
      <w:r w:rsidR="0092140F" w:rsidRPr="00A76890">
        <w:t>Significant management judg</w:t>
      </w:r>
      <w:r w:rsidR="00F71D49" w:rsidRPr="00A76890">
        <w:t>e</w:t>
      </w:r>
      <w:r w:rsidR="0092140F" w:rsidRPr="00A76890">
        <w:t>ments in applying accounting policies</w:t>
      </w:r>
    </w:p>
    <w:p w:rsidR="0092140F" w:rsidRPr="00A76890" w:rsidRDefault="0092140F" w:rsidP="00704CC0">
      <w:pPr>
        <w:pStyle w:val="Normal2-Para"/>
        <w:spacing w:line="240" w:lineRule="auto"/>
        <w:ind w:left="567"/>
      </w:pPr>
      <w:r w:rsidRPr="00A76890">
        <w:t>Information about significant management judg</w:t>
      </w:r>
      <w:r w:rsidR="00F71D49" w:rsidRPr="00A76890">
        <w:t>e</w:t>
      </w:r>
      <w:r w:rsidRPr="00A76890">
        <w:t>ments that have the most significant effect on the</w:t>
      </w:r>
      <w:r w:rsidR="00F072B5" w:rsidRPr="00A76890">
        <w:t xml:space="preserve"> </w:t>
      </w:r>
      <w:r w:rsidRPr="00A76890">
        <w:t xml:space="preserve">financial statements is </w:t>
      </w:r>
      <w:r w:rsidR="00AE0EAB" w:rsidRPr="00A76890">
        <w:t>summarise</w:t>
      </w:r>
      <w:r w:rsidRPr="00A76890">
        <w:t>d below. Critical estimation uncertainties are described in note 6 to the financial statements.</w:t>
      </w:r>
    </w:p>
    <w:p w:rsidR="0092140F" w:rsidRPr="00A76890" w:rsidRDefault="0092140F" w:rsidP="00704CC0">
      <w:pPr>
        <w:pStyle w:val="Heading3-Sub-para"/>
        <w:ind w:left="567"/>
      </w:pPr>
      <w:r w:rsidRPr="00A76890">
        <w:t xml:space="preserve">Investments </w:t>
      </w:r>
      <w:r w:rsidR="00E25802" w:rsidRPr="00A76890">
        <w:t>recognise</w:t>
      </w:r>
      <w:r w:rsidR="00260CAC" w:rsidRPr="00A76890">
        <w:t>d</w:t>
      </w:r>
      <w:r w:rsidRPr="00A76890">
        <w:t xml:space="preserve"> a</w:t>
      </w:r>
      <w:r w:rsidR="00F100AE" w:rsidRPr="00A76890">
        <w:t xml:space="preserve">t </w:t>
      </w:r>
      <w:r w:rsidRPr="00A76890">
        <w:t>fair value through profit or loss</w:t>
      </w:r>
    </w:p>
    <w:p w:rsidR="0092140F" w:rsidRPr="00A76890" w:rsidRDefault="0092140F" w:rsidP="00704CC0">
      <w:pPr>
        <w:pStyle w:val="Normal3-Sub-para"/>
        <w:spacing w:line="240" w:lineRule="auto"/>
        <w:ind w:left="567"/>
      </w:pPr>
      <w:r w:rsidRPr="00A76890">
        <w:t>The Group has recognised its investments at fair value through profit or loss. In accordance with IAS</w:t>
      </w:r>
      <w:r w:rsidR="007212F8" w:rsidRPr="00A76890">
        <w:t xml:space="preserve"> </w:t>
      </w:r>
      <w:r w:rsidRPr="00A76890">
        <w:t>39, an entity may record an item at fair value through profit or loss if they are either classified as held for trading or if they meet certain conditions and are designated at fair value through profit or loss upon initial recognition. The management has designated all the investments in listed as well as unlisted securities at fair value through profit or loss, as they meet the requirements in IAS 39. The facts considered in applying this judg</w:t>
      </w:r>
      <w:r w:rsidR="00F71D49" w:rsidRPr="00A76890">
        <w:t>e</w:t>
      </w:r>
      <w:r w:rsidRPr="00A76890">
        <w:t>ment</w:t>
      </w:r>
      <w:r w:rsidR="00F71D49" w:rsidRPr="00A76890">
        <w:t xml:space="preserve"> </w:t>
      </w:r>
      <w:r w:rsidRPr="00A76890">
        <w:t>are included under note 4.10.</w:t>
      </w:r>
    </w:p>
    <w:p w:rsidR="0092140F" w:rsidRPr="00A76890" w:rsidRDefault="0092140F" w:rsidP="00704CC0">
      <w:pPr>
        <w:pStyle w:val="Heading3-Sub-para"/>
        <w:ind w:left="567"/>
        <w:rPr>
          <w:color w:val="000000"/>
        </w:rPr>
      </w:pPr>
      <w:r w:rsidRPr="00A76890">
        <w:t>Determination of functional currency of individual entities</w:t>
      </w:r>
    </w:p>
    <w:p w:rsidR="0092140F" w:rsidRPr="00A76890" w:rsidRDefault="0092140F" w:rsidP="00704CC0">
      <w:pPr>
        <w:pStyle w:val="Normal3-Sub-para"/>
        <w:spacing w:line="240" w:lineRule="auto"/>
        <w:ind w:left="567"/>
        <w:rPr>
          <w:i/>
        </w:rPr>
      </w:pPr>
      <w:r w:rsidRPr="00A76890">
        <w:t xml:space="preserve">Following the guidance under </w:t>
      </w:r>
      <w:r w:rsidRPr="00A76890">
        <w:rPr>
          <w:i/>
        </w:rPr>
        <w:t>IAS 21 “The effects of changes in foreign exchange rates”</w:t>
      </w:r>
      <w:r w:rsidRPr="00A76890">
        <w:t xml:space="preserve"> the functional currency of each individual entity is determined to be the currency of the primary economic environment in which the entity operates. In the presence of mixed indicators, the management applies judg</w:t>
      </w:r>
      <w:r w:rsidR="00974401" w:rsidRPr="00A76890">
        <w:t>e</w:t>
      </w:r>
      <w:r w:rsidRPr="00A76890">
        <w:t xml:space="preserve">ment in determining the functional currency of each individual entity within the Group which most faithfully represents the economic effects of the underlying transactions, events and conditions under which the entity conducts its business. The consolidated financial statements are presented in </w:t>
      </w:r>
      <w:r w:rsidR="006533DA" w:rsidRPr="00A76890">
        <w:t>p</w:t>
      </w:r>
      <w:r w:rsidRPr="00A76890">
        <w:t xml:space="preserve">ounds </w:t>
      </w:r>
      <w:r w:rsidR="006533DA" w:rsidRPr="00A76890">
        <w:t>s</w:t>
      </w:r>
      <w:r w:rsidRPr="00A76890">
        <w:t>terling, which is also the functional currency of the Company</w:t>
      </w:r>
      <w:r w:rsidR="0009748E" w:rsidRPr="00A76890">
        <w:t xml:space="preserve"> and each of the subsidiaries.</w:t>
      </w:r>
    </w:p>
    <w:p w:rsidR="00863596" w:rsidRPr="009E5DE7" w:rsidRDefault="0092140F" w:rsidP="00704CC0">
      <w:pPr>
        <w:keepNext/>
        <w:keepLines/>
        <w:numPr>
          <w:ilvl w:val="0"/>
          <w:numId w:val="4"/>
        </w:numPr>
        <w:tabs>
          <w:tab w:val="clear" w:pos="810"/>
          <w:tab w:val="left" w:pos="567"/>
          <w:tab w:val="left" w:pos="1134"/>
          <w:tab w:val="left" w:pos="1701"/>
          <w:tab w:val="left" w:pos="2268"/>
        </w:tabs>
        <w:spacing w:before="240"/>
        <w:ind w:left="567" w:hanging="567"/>
        <w:rPr>
          <w:rFonts w:cs="Arial"/>
          <w:b/>
        </w:rPr>
      </w:pPr>
      <w:r w:rsidRPr="009E5DE7">
        <w:rPr>
          <w:rFonts w:cs="Arial"/>
          <w:b/>
        </w:rPr>
        <w:t>Estimation uncertainty</w:t>
      </w:r>
    </w:p>
    <w:p w:rsidR="0092140F" w:rsidRPr="00A76890" w:rsidRDefault="0092140F" w:rsidP="00704CC0">
      <w:pPr>
        <w:pStyle w:val="Normal2-Para"/>
        <w:spacing w:line="240" w:lineRule="auto"/>
        <w:ind w:left="567"/>
      </w:pPr>
      <w:r w:rsidRPr="00A76890">
        <w:t>When preparing the financial statements management undertakes a number of judg</w:t>
      </w:r>
      <w:r w:rsidR="00F71D49" w:rsidRPr="00A76890">
        <w:t>e</w:t>
      </w:r>
      <w:r w:rsidRPr="00A76890">
        <w:t>ments, estimates and assumptions about recognition and measurement of assets, liabilities, income and expenses that have a significant effect on the financial statements.</w:t>
      </w:r>
    </w:p>
    <w:p w:rsidR="0092140F" w:rsidRPr="00A76890" w:rsidRDefault="0092140F" w:rsidP="00704CC0">
      <w:pPr>
        <w:pStyle w:val="Normal2-Para"/>
        <w:spacing w:line="240" w:lineRule="auto"/>
        <w:ind w:left="567"/>
      </w:pPr>
      <w:r w:rsidRPr="00A76890">
        <w:t>The actual results may differ from the judg</w:t>
      </w:r>
      <w:r w:rsidR="00F71D49" w:rsidRPr="00A76890">
        <w:t>e</w:t>
      </w:r>
      <w:r w:rsidRPr="00A76890">
        <w:t>ments, estimates and assumptions made by management, and will seldom equal the estimated results.</w:t>
      </w:r>
    </w:p>
    <w:p w:rsidR="0092140F" w:rsidRPr="00A76890" w:rsidRDefault="0092140F" w:rsidP="00704CC0">
      <w:pPr>
        <w:pStyle w:val="Normal2-Para"/>
        <w:spacing w:line="240" w:lineRule="auto"/>
        <w:ind w:left="567"/>
      </w:pPr>
      <w:r w:rsidRPr="00A76890">
        <w:t>Information about the significant estimates and assumptions that have the most significant effect on recognition and measurement of assets, liabilities, incomes and expenses is provided below:</w:t>
      </w:r>
    </w:p>
    <w:p w:rsidR="0092140F" w:rsidRPr="00A76890" w:rsidRDefault="0092140F" w:rsidP="00704CC0">
      <w:pPr>
        <w:pStyle w:val="Heading3-Sub-para"/>
        <w:ind w:left="567"/>
      </w:pPr>
      <w:r w:rsidRPr="00A76890">
        <w:t xml:space="preserve">Fair value of unquoted investments </w:t>
      </w:r>
    </w:p>
    <w:p w:rsidR="0092140F" w:rsidRPr="00A76890" w:rsidRDefault="0092140F" w:rsidP="00704CC0">
      <w:pPr>
        <w:pStyle w:val="Normal3-Sub-para"/>
        <w:spacing w:line="240" w:lineRule="auto"/>
        <w:ind w:left="567"/>
      </w:pPr>
      <w:r w:rsidRPr="00A76890">
        <w:t xml:space="preserve">Management uses valuation techniques in measuring the fair value of financial instruments, where active market quotes are not available. In applying the valuation techniques, management makes maximum use of market inputs, and uses estimates and assumptions that are, as far as possible, consistent with observable data that market participants would use in pricing the instrument. Where applicable data is not observable, management uses its best estimate about the assumptions that other market participants would make. These estimates may vary from the actual prices that would be achieved in an arm's length transaction at the reporting date. Details of the assumptions used are given in note </w:t>
      </w:r>
      <w:r w:rsidR="002E5E31" w:rsidRPr="00A76890">
        <w:t>14</w:t>
      </w:r>
      <w:r w:rsidRPr="00A76890">
        <w:t xml:space="preserve">. Further, the levels of hierarchy for the investments have been disclosed in note </w:t>
      </w:r>
      <w:r w:rsidR="002E5E31" w:rsidRPr="00A76890">
        <w:t>23</w:t>
      </w:r>
      <w:r w:rsidRPr="00A76890">
        <w:t>.</w:t>
      </w:r>
    </w:p>
    <w:p w:rsidR="0092140F" w:rsidRPr="00A76890" w:rsidRDefault="0092140F" w:rsidP="00704CC0">
      <w:pPr>
        <w:pStyle w:val="Heading3-Sub-para"/>
        <w:ind w:left="567"/>
      </w:pPr>
      <w:r w:rsidRPr="00A76890">
        <w:t xml:space="preserve">Impairment </w:t>
      </w:r>
    </w:p>
    <w:p w:rsidR="0092140F" w:rsidRPr="00A76890" w:rsidRDefault="0092140F" w:rsidP="00704CC0">
      <w:pPr>
        <w:pStyle w:val="Normal3-Sub-para"/>
        <w:spacing w:line="240" w:lineRule="auto"/>
        <w:ind w:left="567"/>
      </w:pPr>
      <w:r w:rsidRPr="00A76890">
        <w:t xml:space="preserve">An impairment loss is recognised for the amount by which the assets’ carrying amount exceeds its recoverable amount. To determine the recoverable amount, individually significant assets are considered for impairment when they are past due or when there is other objective evidence that a specific counterparty will default. These assumptions relate to future events and circumstances. The actual results may vary and may cause adjustments to the Group's assets in future financial periods. Impairment loss on investment in subsidiaries and loan to subsidiaries has been recorded in the standalone financial statements of the Company and related information has been disclosed in note </w:t>
      </w:r>
      <w:r w:rsidR="002E5E31" w:rsidRPr="00A76890">
        <w:t>12</w:t>
      </w:r>
      <w:r w:rsidRPr="00A76890">
        <w:t xml:space="preserve"> and </w:t>
      </w:r>
      <w:r w:rsidR="002E5E31" w:rsidRPr="00A76890">
        <w:t>13</w:t>
      </w:r>
      <w:r w:rsidR="00E25802" w:rsidRPr="00A76890">
        <w:t xml:space="preserve"> </w:t>
      </w:r>
      <w:r w:rsidRPr="00A76890">
        <w:t>respectively.</w:t>
      </w:r>
    </w:p>
    <w:p w:rsidR="0092140F" w:rsidRPr="00A76890" w:rsidRDefault="0092140F" w:rsidP="00704CC0">
      <w:pPr>
        <w:pStyle w:val="Heading3-Sub-para"/>
        <w:ind w:left="567"/>
      </w:pPr>
      <w:r w:rsidRPr="00A76890">
        <w:t>Deferred tax asset</w:t>
      </w:r>
    </w:p>
    <w:p w:rsidR="0092140F" w:rsidRPr="009E5DE7" w:rsidRDefault="0092140F" w:rsidP="00704CC0">
      <w:pPr>
        <w:pStyle w:val="Normal3-Sub-para"/>
        <w:spacing w:line="240" w:lineRule="auto"/>
        <w:ind w:left="567"/>
      </w:pPr>
      <w:r w:rsidRPr="00A76890">
        <w:t>Deferred tax assets are recognised to the extent that it is probable that taxable profits will be available against which deductible temporary differences can be utilised. The Group’s assessment of the probability of availability of future taxable income against which deferred tax assets can be utilised is adjusted for significant non-taxable income and expenses and specific limits to the use of any unused tax loss or credit. The tax rules in the numerous jurisdictions in which the Group operates are also carefully taken into consideration. These estimates may vary due to changes in tax legislation which affects the tax rates that are expected to apply in the relevant period and due to availability of taxable profits which affects recognition of deferred tax assets.</w:t>
      </w:r>
      <w:r w:rsidR="00F072B5" w:rsidRPr="00A76890">
        <w:t xml:space="preserve"> </w:t>
      </w:r>
      <w:r w:rsidRPr="00A76890">
        <w:t xml:space="preserve">The Group had unused tax losses </w:t>
      </w:r>
      <w:r w:rsidR="008A024B" w:rsidRPr="00A76890">
        <w:t xml:space="preserve">amounting to GBP </w:t>
      </w:r>
      <w:r w:rsidR="00A9442F" w:rsidRPr="00A76890">
        <w:t>4,047</w:t>
      </w:r>
      <w:r w:rsidR="008A024B" w:rsidRPr="00A76890">
        <w:t xml:space="preserve"> thousand as at 31 August</w:t>
      </w:r>
      <w:r w:rsidRPr="00A76890">
        <w:t xml:space="preserve"> 201</w:t>
      </w:r>
      <w:r w:rsidR="0031728D" w:rsidRPr="00A76890">
        <w:t xml:space="preserve">3 </w:t>
      </w:r>
      <w:r w:rsidRPr="00A76890">
        <w:t>(31 August 201</w:t>
      </w:r>
      <w:r w:rsidR="0031728D" w:rsidRPr="00A76890">
        <w:t>2</w:t>
      </w:r>
      <w:r w:rsidR="00C77914" w:rsidRPr="00A76890">
        <w:t>: GBP</w:t>
      </w:r>
      <w:r w:rsidR="00687276" w:rsidRPr="00A76890">
        <w:t xml:space="preserve"> </w:t>
      </w:r>
      <w:r w:rsidR="0031728D" w:rsidRPr="00A76890">
        <w:t>4,462</w:t>
      </w:r>
      <w:r w:rsidR="0006794C" w:rsidRPr="00A76890">
        <w:t xml:space="preserve"> </w:t>
      </w:r>
      <w:r w:rsidRPr="00A76890">
        <w:t xml:space="preserve">thousand) in relation to its subsidiaries in </w:t>
      </w:r>
      <w:r w:rsidRPr="009E5DE7">
        <w:t>Mauritius.</w:t>
      </w:r>
    </w:p>
    <w:p w:rsidR="00863596" w:rsidRPr="009E5DE7" w:rsidRDefault="0092140F" w:rsidP="00704CC0">
      <w:pPr>
        <w:keepNext/>
        <w:keepLines/>
        <w:numPr>
          <w:ilvl w:val="0"/>
          <w:numId w:val="4"/>
        </w:numPr>
        <w:tabs>
          <w:tab w:val="clear" w:pos="810"/>
          <w:tab w:val="left" w:pos="567"/>
          <w:tab w:val="left" w:pos="1134"/>
          <w:tab w:val="left" w:pos="1701"/>
          <w:tab w:val="left" w:pos="2268"/>
        </w:tabs>
        <w:spacing w:before="240" w:after="120"/>
        <w:ind w:left="567" w:hanging="567"/>
        <w:rPr>
          <w:rFonts w:cs="Arial"/>
          <w:b/>
        </w:rPr>
      </w:pPr>
      <w:r w:rsidRPr="009E5DE7">
        <w:rPr>
          <w:rFonts w:cs="Arial"/>
          <w:b/>
        </w:rPr>
        <w:t>Investment and other income</w:t>
      </w:r>
    </w:p>
    <w:tbl>
      <w:tblP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4476"/>
        <w:gridCol w:w="671"/>
        <w:gridCol w:w="1791"/>
        <w:gridCol w:w="224"/>
        <w:gridCol w:w="1791"/>
      </w:tblGrid>
      <w:tr w:rsidR="009E5DE7" w:rsidRPr="00A76890" w:rsidTr="00562F9C">
        <w:trPr>
          <w:trHeight w:val="47"/>
          <w:tblHeader/>
        </w:trPr>
        <w:tc>
          <w:tcPr>
            <w:tcW w:w="2500" w:type="pct"/>
            <w:tcBorders>
              <w:top w:val="nil"/>
              <w:left w:val="nil"/>
              <w:right w:val="nil"/>
            </w:tcBorders>
          </w:tcPr>
          <w:p w:rsidR="009E5DE7" w:rsidRPr="009E5DE7" w:rsidRDefault="009E5DE7" w:rsidP="00704CC0">
            <w:pPr>
              <w:keepNext/>
              <w:keepLines/>
              <w:tabs>
                <w:tab w:val="left" w:pos="567"/>
                <w:tab w:val="left" w:pos="1134"/>
                <w:tab w:val="left" w:pos="1701"/>
                <w:tab w:val="left" w:pos="2268"/>
              </w:tabs>
              <w:rPr>
                <w:rFonts w:cs="Arial"/>
                <w:sz w:val="18"/>
                <w:szCs w:val="18"/>
              </w:rPr>
            </w:pPr>
          </w:p>
        </w:tc>
        <w:tc>
          <w:tcPr>
            <w:tcW w:w="375" w:type="pct"/>
            <w:tcBorders>
              <w:top w:val="nil"/>
              <w:left w:val="nil"/>
              <w:right w:val="nil"/>
            </w:tcBorders>
          </w:tcPr>
          <w:p w:rsidR="009E5DE7" w:rsidRPr="009E5DE7" w:rsidRDefault="009E5DE7" w:rsidP="00704CC0">
            <w:pPr>
              <w:keepNext/>
              <w:keepLines/>
              <w:tabs>
                <w:tab w:val="left" w:pos="567"/>
                <w:tab w:val="left" w:pos="1134"/>
                <w:tab w:val="left" w:pos="1701"/>
                <w:tab w:val="left" w:pos="2268"/>
              </w:tabs>
              <w:rPr>
                <w:rFonts w:cs="Arial"/>
                <w:b/>
                <w:sz w:val="18"/>
                <w:szCs w:val="18"/>
              </w:rPr>
            </w:pPr>
          </w:p>
        </w:tc>
        <w:tc>
          <w:tcPr>
            <w:tcW w:w="1000" w:type="pct"/>
            <w:tcBorders>
              <w:top w:val="nil"/>
              <w:left w:val="nil"/>
              <w:right w:val="nil"/>
            </w:tcBorders>
          </w:tcPr>
          <w:p w:rsidR="009E5DE7" w:rsidRPr="009E5DE7" w:rsidRDefault="009E5DE7" w:rsidP="00704CC0">
            <w:pPr>
              <w:keepNext/>
              <w:keepLines/>
              <w:tabs>
                <w:tab w:val="left" w:pos="567"/>
                <w:tab w:val="left" w:pos="1134"/>
                <w:tab w:val="left" w:pos="1701"/>
                <w:tab w:val="left" w:pos="2268"/>
              </w:tabs>
              <w:jc w:val="right"/>
              <w:rPr>
                <w:rFonts w:cs="Arial"/>
                <w:b/>
                <w:sz w:val="18"/>
                <w:szCs w:val="18"/>
              </w:rPr>
            </w:pPr>
            <w:r w:rsidRPr="009E5DE7">
              <w:rPr>
                <w:rFonts w:cs="Arial"/>
                <w:b/>
                <w:sz w:val="18"/>
                <w:szCs w:val="18"/>
              </w:rPr>
              <w:t>2013</w:t>
            </w:r>
          </w:p>
          <w:p w:rsidR="009E5DE7" w:rsidRPr="009E5DE7" w:rsidRDefault="009E5DE7" w:rsidP="00704CC0">
            <w:pPr>
              <w:keepNext/>
              <w:keepLines/>
              <w:tabs>
                <w:tab w:val="left" w:pos="567"/>
                <w:tab w:val="left" w:pos="1134"/>
                <w:tab w:val="left" w:pos="1701"/>
                <w:tab w:val="left" w:pos="2268"/>
              </w:tabs>
              <w:jc w:val="right"/>
              <w:rPr>
                <w:rFonts w:cs="Arial"/>
                <w:b/>
                <w:sz w:val="18"/>
                <w:szCs w:val="18"/>
              </w:rPr>
            </w:pPr>
            <w:r w:rsidRPr="009E5DE7">
              <w:rPr>
                <w:rFonts w:cs="Arial"/>
                <w:b/>
                <w:bCs/>
                <w:sz w:val="18"/>
                <w:szCs w:val="18"/>
              </w:rPr>
              <w:t>£'000</w:t>
            </w:r>
          </w:p>
        </w:tc>
        <w:tc>
          <w:tcPr>
            <w:tcW w:w="125" w:type="pct"/>
            <w:tcBorders>
              <w:top w:val="nil"/>
              <w:left w:val="nil"/>
              <w:right w:val="nil"/>
            </w:tcBorders>
          </w:tcPr>
          <w:p w:rsidR="009E5DE7" w:rsidRPr="009E5DE7" w:rsidRDefault="009E5DE7" w:rsidP="00704CC0">
            <w:pPr>
              <w:keepNext/>
              <w:keepLines/>
              <w:tabs>
                <w:tab w:val="left" w:pos="567"/>
                <w:tab w:val="left" w:pos="1134"/>
                <w:tab w:val="left" w:pos="1701"/>
                <w:tab w:val="left" w:pos="2268"/>
              </w:tabs>
              <w:jc w:val="right"/>
              <w:rPr>
                <w:rFonts w:cs="Arial"/>
                <w:sz w:val="18"/>
                <w:szCs w:val="18"/>
              </w:rPr>
            </w:pPr>
          </w:p>
        </w:tc>
        <w:tc>
          <w:tcPr>
            <w:tcW w:w="1000" w:type="pct"/>
            <w:tcBorders>
              <w:top w:val="nil"/>
              <w:left w:val="nil"/>
              <w:right w:val="nil"/>
            </w:tcBorders>
          </w:tcPr>
          <w:p w:rsidR="009E5DE7" w:rsidRPr="009E5DE7" w:rsidRDefault="009E5DE7" w:rsidP="00704CC0">
            <w:pPr>
              <w:keepNext/>
              <w:keepLines/>
              <w:tabs>
                <w:tab w:val="left" w:pos="567"/>
                <w:tab w:val="left" w:pos="1134"/>
                <w:tab w:val="left" w:pos="1701"/>
                <w:tab w:val="left" w:pos="2268"/>
              </w:tabs>
              <w:jc w:val="right"/>
              <w:rPr>
                <w:rFonts w:cs="Arial"/>
                <w:sz w:val="18"/>
                <w:szCs w:val="18"/>
              </w:rPr>
            </w:pPr>
            <w:r w:rsidRPr="009E5DE7">
              <w:rPr>
                <w:rFonts w:cs="Arial"/>
                <w:sz w:val="18"/>
                <w:szCs w:val="18"/>
              </w:rPr>
              <w:t>2012</w:t>
            </w:r>
          </w:p>
          <w:p w:rsidR="009E5DE7" w:rsidRPr="009E5DE7" w:rsidRDefault="009E5DE7" w:rsidP="00704CC0">
            <w:pPr>
              <w:keepNext/>
              <w:keepLines/>
              <w:tabs>
                <w:tab w:val="left" w:pos="567"/>
                <w:tab w:val="left" w:pos="1134"/>
                <w:tab w:val="left" w:pos="1701"/>
                <w:tab w:val="left" w:pos="2268"/>
              </w:tabs>
              <w:jc w:val="right"/>
              <w:rPr>
                <w:rFonts w:cs="Arial"/>
                <w:sz w:val="18"/>
                <w:szCs w:val="18"/>
              </w:rPr>
            </w:pPr>
            <w:r w:rsidRPr="009E5DE7">
              <w:rPr>
                <w:rFonts w:cs="Arial"/>
                <w:bCs/>
                <w:sz w:val="18"/>
                <w:szCs w:val="18"/>
              </w:rPr>
              <w:t>£'000</w:t>
            </w:r>
          </w:p>
        </w:tc>
      </w:tr>
      <w:tr w:rsidR="00385955" w:rsidRPr="00A76890" w:rsidTr="00562F9C">
        <w:trPr>
          <w:trHeight w:val="20"/>
        </w:trPr>
        <w:tc>
          <w:tcPr>
            <w:tcW w:w="2500" w:type="pct"/>
            <w:tcBorders>
              <w:top w:val="nil"/>
              <w:left w:val="nil"/>
              <w:bottom w:val="nil"/>
              <w:right w:val="nil"/>
            </w:tcBorders>
          </w:tcPr>
          <w:p w:rsidR="00385955" w:rsidRPr="009E5DE7" w:rsidRDefault="00385955" w:rsidP="00704CC0">
            <w:pPr>
              <w:keepNext/>
              <w:keepLines/>
              <w:tabs>
                <w:tab w:val="left" w:pos="567"/>
                <w:tab w:val="left" w:pos="1134"/>
                <w:tab w:val="left" w:pos="1701"/>
                <w:tab w:val="left" w:pos="2268"/>
              </w:tabs>
              <w:ind w:firstLine="540"/>
              <w:rPr>
                <w:rFonts w:cs="Arial"/>
                <w:sz w:val="18"/>
                <w:szCs w:val="18"/>
              </w:rPr>
            </w:pPr>
            <w:r w:rsidRPr="009E5DE7">
              <w:rPr>
                <w:rFonts w:cs="Arial"/>
                <w:sz w:val="18"/>
                <w:szCs w:val="18"/>
              </w:rPr>
              <w:t>Interest income</w:t>
            </w:r>
          </w:p>
        </w:tc>
        <w:tc>
          <w:tcPr>
            <w:tcW w:w="375" w:type="pct"/>
            <w:tcBorders>
              <w:top w:val="nil"/>
              <w:left w:val="nil"/>
              <w:bottom w:val="nil"/>
              <w:right w:val="nil"/>
            </w:tcBorders>
          </w:tcPr>
          <w:p w:rsidR="00385955" w:rsidRPr="009E5DE7" w:rsidRDefault="00385955" w:rsidP="00704CC0">
            <w:pPr>
              <w:keepNext/>
              <w:keepLines/>
              <w:tabs>
                <w:tab w:val="left" w:pos="567"/>
                <w:tab w:val="left" w:pos="1134"/>
                <w:tab w:val="left" w:pos="1701"/>
                <w:tab w:val="left" w:pos="2268"/>
              </w:tabs>
              <w:rPr>
                <w:rFonts w:cs="Arial"/>
                <w:b/>
                <w:sz w:val="18"/>
                <w:szCs w:val="18"/>
              </w:rPr>
            </w:pPr>
          </w:p>
        </w:tc>
        <w:tc>
          <w:tcPr>
            <w:tcW w:w="1000" w:type="pct"/>
            <w:tcBorders>
              <w:top w:val="nil"/>
              <w:left w:val="nil"/>
              <w:bottom w:val="nil"/>
              <w:right w:val="nil"/>
            </w:tcBorders>
          </w:tcPr>
          <w:p w:rsidR="00385955" w:rsidRPr="009E5DE7" w:rsidRDefault="00ED703D" w:rsidP="00704CC0">
            <w:pPr>
              <w:keepNext/>
              <w:keepLines/>
              <w:tabs>
                <w:tab w:val="left" w:pos="567"/>
                <w:tab w:val="left" w:pos="1134"/>
                <w:tab w:val="left" w:pos="1701"/>
                <w:tab w:val="left" w:pos="2268"/>
              </w:tabs>
              <w:jc w:val="right"/>
              <w:rPr>
                <w:rFonts w:cs="Arial"/>
                <w:b/>
                <w:sz w:val="18"/>
                <w:szCs w:val="18"/>
              </w:rPr>
            </w:pPr>
            <w:r w:rsidRPr="009E5DE7">
              <w:rPr>
                <w:rFonts w:cs="Arial"/>
                <w:b/>
                <w:sz w:val="18"/>
                <w:szCs w:val="18"/>
              </w:rPr>
              <w:t>9</w:t>
            </w:r>
          </w:p>
        </w:tc>
        <w:tc>
          <w:tcPr>
            <w:tcW w:w="125" w:type="pct"/>
            <w:tcBorders>
              <w:top w:val="nil"/>
              <w:left w:val="nil"/>
              <w:bottom w:val="nil"/>
              <w:right w:val="nil"/>
            </w:tcBorders>
          </w:tcPr>
          <w:p w:rsidR="00385955" w:rsidRPr="009E5DE7" w:rsidRDefault="00385955" w:rsidP="00704CC0">
            <w:pPr>
              <w:keepNext/>
              <w:keepLines/>
              <w:tabs>
                <w:tab w:val="left" w:pos="567"/>
                <w:tab w:val="left" w:pos="1134"/>
                <w:tab w:val="left" w:pos="1701"/>
                <w:tab w:val="left" w:pos="2268"/>
              </w:tabs>
              <w:jc w:val="right"/>
              <w:rPr>
                <w:rFonts w:cs="Arial"/>
                <w:sz w:val="18"/>
                <w:szCs w:val="18"/>
              </w:rPr>
            </w:pPr>
          </w:p>
        </w:tc>
        <w:tc>
          <w:tcPr>
            <w:tcW w:w="1000" w:type="pct"/>
            <w:tcBorders>
              <w:top w:val="nil"/>
              <w:left w:val="nil"/>
              <w:bottom w:val="nil"/>
              <w:right w:val="nil"/>
            </w:tcBorders>
          </w:tcPr>
          <w:p w:rsidR="00385955" w:rsidRPr="009E5DE7" w:rsidRDefault="00385955" w:rsidP="00704CC0">
            <w:pPr>
              <w:keepNext/>
              <w:keepLines/>
              <w:tabs>
                <w:tab w:val="left" w:pos="567"/>
                <w:tab w:val="left" w:pos="1134"/>
                <w:tab w:val="left" w:pos="1701"/>
                <w:tab w:val="left" w:pos="2268"/>
              </w:tabs>
              <w:jc w:val="right"/>
              <w:rPr>
                <w:rFonts w:cs="Arial"/>
                <w:sz w:val="18"/>
                <w:szCs w:val="18"/>
              </w:rPr>
            </w:pPr>
            <w:r w:rsidRPr="009E5DE7">
              <w:rPr>
                <w:rFonts w:cs="Arial"/>
                <w:sz w:val="18"/>
                <w:szCs w:val="18"/>
              </w:rPr>
              <w:t>15</w:t>
            </w:r>
          </w:p>
        </w:tc>
      </w:tr>
      <w:tr w:rsidR="00385955" w:rsidRPr="00A76890" w:rsidTr="00562F9C">
        <w:trPr>
          <w:trHeight w:val="20"/>
        </w:trPr>
        <w:tc>
          <w:tcPr>
            <w:tcW w:w="2500" w:type="pct"/>
            <w:tcBorders>
              <w:top w:val="nil"/>
              <w:left w:val="nil"/>
              <w:bottom w:val="nil"/>
              <w:right w:val="nil"/>
            </w:tcBorders>
          </w:tcPr>
          <w:p w:rsidR="00385955" w:rsidRPr="009E5DE7" w:rsidRDefault="00385955" w:rsidP="00704CC0">
            <w:pPr>
              <w:keepNext/>
              <w:keepLines/>
              <w:tabs>
                <w:tab w:val="left" w:pos="567"/>
                <w:tab w:val="left" w:pos="1134"/>
                <w:tab w:val="left" w:pos="1701"/>
                <w:tab w:val="left" w:pos="2268"/>
              </w:tabs>
              <w:ind w:firstLine="540"/>
              <w:rPr>
                <w:rFonts w:cs="Arial"/>
                <w:sz w:val="18"/>
                <w:szCs w:val="18"/>
              </w:rPr>
            </w:pPr>
            <w:r w:rsidRPr="009E5DE7">
              <w:rPr>
                <w:rFonts w:cs="Arial"/>
                <w:sz w:val="18"/>
                <w:szCs w:val="18"/>
              </w:rPr>
              <w:t>Dividend income</w:t>
            </w:r>
          </w:p>
        </w:tc>
        <w:tc>
          <w:tcPr>
            <w:tcW w:w="375" w:type="pct"/>
            <w:tcBorders>
              <w:top w:val="nil"/>
              <w:left w:val="nil"/>
              <w:bottom w:val="nil"/>
              <w:right w:val="nil"/>
            </w:tcBorders>
          </w:tcPr>
          <w:p w:rsidR="00385955" w:rsidRPr="009E5DE7" w:rsidRDefault="00385955" w:rsidP="00704CC0">
            <w:pPr>
              <w:keepNext/>
              <w:keepLines/>
              <w:tabs>
                <w:tab w:val="left" w:pos="567"/>
                <w:tab w:val="left" w:pos="1134"/>
                <w:tab w:val="left" w:pos="1701"/>
                <w:tab w:val="left" w:pos="2268"/>
              </w:tabs>
              <w:rPr>
                <w:rFonts w:cs="Arial"/>
                <w:sz w:val="18"/>
                <w:szCs w:val="18"/>
                <w:lang w:val="en-GB"/>
              </w:rPr>
            </w:pPr>
          </w:p>
        </w:tc>
        <w:tc>
          <w:tcPr>
            <w:tcW w:w="1000" w:type="pct"/>
            <w:tcBorders>
              <w:top w:val="nil"/>
              <w:left w:val="nil"/>
              <w:bottom w:val="nil"/>
              <w:right w:val="nil"/>
            </w:tcBorders>
          </w:tcPr>
          <w:p w:rsidR="00385955" w:rsidRPr="009E5DE7" w:rsidRDefault="00ED703D" w:rsidP="00704CC0">
            <w:pPr>
              <w:keepNext/>
              <w:keepLines/>
              <w:tabs>
                <w:tab w:val="left" w:pos="567"/>
                <w:tab w:val="left" w:pos="1134"/>
                <w:tab w:val="left" w:pos="1701"/>
                <w:tab w:val="left" w:pos="2268"/>
              </w:tabs>
              <w:jc w:val="right"/>
              <w:rPr>
                <w:rFonts w:cs="Arial"/>
                <w:b/>
                <w:sz w:val="18"/>
                <w:szCs w:val="18"/>
              </w:rPr>
            </w:pPr>
            <w:r w:rsidRPr="009E5DE7">
              <w:rPr>
                <w:rFonts w:cs="Arial"/>
                <w:b/>
                <w:sz w:val="18"/>
                <w:szCs w:val="18"/>
              </w:rPr>
              <w:t>-</w:t>
            </w:r>
          </w:p>
        </w:tc>
        <w:tc>
          <w:tcPr>
            <w:tcW w:w="125" w:type="pct"/>
            <w:tcBorders>
              <w:top w:val="nil"/>
              <w:left w:val="nil"/>
              <w:bottom w:val="nil"/>
              <w:right w:val="nil"/>
            </w:tcBorders>
          </w:tcPr>
          <w:p w:rsidR="00385955" w:rsidRPr="009E5DE7" w:rsidRDefault="00385955" w:rsidP="00704CC0">
            <w:pPr>
              <w:keepNext/>
              <w:keepLines/>
              <w:tabs>
                <w:tab w:val="left" w:pos="567"/>
                <w:tab w:val="left" w:pos="1134"/>
                <w:tab w:val="left" w:pos="1701"/>
                <w:tab w:val="left" w:pos="2268"/>
              </w:tabs>
              <w:jc w:val="right"/>
              <w:rPr>
                <w:rFonts w:cs="Arial"/>
                <w:sz w:val="18"/>
                <w:szCs w:val="18"/>
              </w:rPr>
            </w:pPr>
          </w:p>
        </w:tc>
        <w:tc>
          <w:tcPr>
            <w:tcW w:w="1000" w:type="pct"/>
            <w:tcBorders>
              <w:top w:val="nil"/>
              <w:left w:val="nil"/>
              <w:bottom w:val="nil"/>
              <w:right w:val="nil"/>
            </w:tcBorders>
          </w:tcPr>
          <w:p w:rsidR="00385955" w:rsidRPr="009E5DE7" w:rsidRDefault="00385955" w:rsidP="00704CC0">
            <w:pPr>
              <w:keepNext/>
              <w:keepLines/>
              <w:tabs>
                <w:tab w:val="left" w:pos="567"/>
                <w:tab w:val="left" w:pos="1134"/>
                <w:tab w:val="left" w:pos="1701"/>
                <w:tab w:val="left" w:pos="2268"/>
              </w:tabs>
              <w:jc w:val="right"/>
              <w:rPr>
                <w:rFonts w:cs="Arial"/>
                <w:sz w:val="18"/>
                <w:szCs w:val="18"/>
              </w:rPr>
            </w:pPr>
            <w:r w:rsidRPr="009E5DE7">
              <w:rPr>
                <w:rFonts w:cs="Arial"/>
                <w:sz w:val="18"/>
                <w:szCs w:val="18"/>
              </w:rPr>
              <w:t>85</w:t>
            </w:r>
          </w:p>
        </w:tc>
      </w:tr>
      <w:tr w:rsidR="00385955" w:rsidRPr="00A76890" w:rsidTr="00562F9C">
        <w:trPr>
          <w:trHeight w:val="20"/>
        </w:trPr>
        <w:tc>
          <w:tcPr>
            <w:tcW w:w="2500" w:type="pct"/>
            <w:tcBorders>
              <w:top w:val="nil"/>
              <w:left w:val="nil"/>
              <w:bottom w:val="nil"/>
              <w:right w:val="nil"/>
            </w:tcBorders>
          </w:tcPr>
          <w:p w:rsidR="00385955" w:rsidRPr="009E5DE7" w:rsidRDefault="009E5DE7" w:rsidP="00704CC0">
            <w:pPr>
              <w:keepNext/>
              <w:keepLines/>
              <w:tabs>
                <w:tab w:val="left" w:pos="567"/>
                <w:tab w:val="left" w:pos="1134"/>
                <w:tab w:val="left" w:pos="1701"/>
                <w:tab w:val="left" w:pos="2268"/>
              </w:tabs>
              <w:rPr>
                <w:rFonts w:cs="Arial"/>
                <w:b/>
                <w:sz w:val="18"/>
                <w:szCs w:val="18"/>
              </w:rPr>
            </w:pPr>
            <w:r>
              <w:rPr>
                <w:rFonts w:cs="Arial"/>
                <w:sz w:val="18"/>
                <w:szCs w:val="18"/>
              </w:rPr>
              <w:tab/>
            </w:r>
            <w:r w:rsidR="00385955" w:rsidRPr="009E5DE7">
              <w:rPr>
                <w:rFonts w:cs="Arial"/>
                <w:sz w:val="18"/>
                <w:szCs w:val="18"/>
              </w:rPr>
              <w:t>Management fee*</w:t>
            </w:r>
          </w:p>
        </w:tc>
        <w:tc>
          <w:tcPr>
            <w:tcW w:w="375" w:type="pct"/>
            <w:tcBorders>
              <w:top w:val="nil"/>
              <w:left w:val="nil"/>
              <w:bottom w:val="nil"/>
              <w:right w:val="nil"/>
            </w:tcBorders>
          </w:tcPr>
          <w:p w:rsidR="00385955" w:rsidRPr="009E5DE7" w:rsidRDefault="00385955" w:rsidP="00704CC0">
            <w:pPr>
              <w:keepNext/>
              <w:keepLines/>
              <w:tabs>
                <w:tab w:val="left" w:pos="567"/>
                <w:tab w:val="left" w:pos="1134"/>
                <w:tab w:val="left" w:pos="1701"/>
                <w:tab w:val="left" w:pos="2268"/>
              </w:tabs>
              <w:rPr>
                <w:rFonts w:cs="Arial"/>
                <w:b/>
                <w:sz w:val="18"/>
                <w:szCs w:val="18"/>
              </w:rPr>
            </w:pPr>
          </w:p>
        </w:tc>
        <w:tc>
          <w:tcPr>
            <w:tcW w:w="1000" w:type="pct"/>
            <w:tcBorders>
              <w:top w:val="nil"/>
              <w:left w:val="nil"/>
              <w:bottom w:val="nil"/>
              <w:right w:val="nil"/>
            </w:tcBorders>
          </w:tcPr>
          <w:p w:rsidR="00385955" w:rsidRPr="009E5DE7" w:rsidRDefault="00ED703D" w:rsidP="00704CC0">
            <w:pPr>
              <w:keepNext/>
              <w:keepLines/>
              <w:tabs>
                <w:tab w:val="left" w:pos="567"/>
                <w:tab w:val="left" w:pos="1134"/>
                <w:tab w:val="left" w:pos="1701"/>
                <w:tab w:val="left" w:pos="2268"/>
              </w:tabs>
              <w:jc w:val="right"/>
              <w:rPr>
                <w:rFonts w:cs="Arial"/>
                <w:b/>
                <w:sz w:val="18"/>
                <w:szCs w:val="18"/>
              </w:rPr>
            </w:pPr>
            <w:r w:rsidRPr="009E5DE7">
              <w:rPr>
                <w:rFonts w:cs="Arial"/>
                <w:b/>
                <w:sz w:val="18"/>
                <w:szCs w:val="18"/>
              </w:rPr>
              <w:t>126</w:t>
            </w:r>
          </w:p>
        </w:tc>
        <w:tc>
          <w:tcPr>
            <w:tcW w:w="125" w:type="pct"/>
            <w:tcBorders>
              <w:top w:val="nil"/>
              <w:left w:val="nil"/>
              <w:bottom w:val="nil"/>
              <w:right w:val="nil"/>
            </w:tcBorders>
          </w:tcPr>
          <w:p w:rsidR="00385955" w:rsidRPr="009E5DE7" w:rsidRDefault="00385955" w:rsidP="00704CC0">
            <w:pPr>
              <w:keepNext/>
              <w:keepLines/>
              <w:tabs>
                <w:tab w:val="left" w:pos="567"/>
                <w:tab w:val="left" w:pos="1134"/>
                <w:tab w:val="left" w:pos="1701"/>
                <w:tab w:val="left" w:pos="2268"/>
              </w:tabs>
              <w:jc w:val="right"/>
              <w:rPr>
                <w:rFonts w:cs="Arial"/>
                <w:sz w:val="18"/>
                <w:szCs w:val="18"/>
              </w:rPr>
            </w:pPr>
          </w:p>
        </w:tc>
        <w:tc>
          <w:tcPr>
            <w:tcW w:w="1000" w:type="pct"/>
            <w:tcBorders>
              <w:top w:val="nil"/>
              <w:left w:val="nil"/>
              <w:bottom w:val="nil"/>
              <w:right w:val="nil"/>
            </w:tcBorders>
          </w:tcPr>
          <w:p w:rsidR="00385955" w:rsidRPr="009E5DE7" w:rsidRDefault="00385955" w:rsidP="00704CC0">
            <w:pPr>
              <w:keepNext/>
              <w:keepLines/>
              <w:tabs>
                <w:tab w:val="left" w:pos="567"/>
                <w:tab w:val="left" w:pos="1134"/>
                <w:tab w:val="left" w:pos="1701"/>
                <w:tab w:val="left" w:pos="2268"/>
              </w:tabs>
              <w:jc w:val="right"/>
              <w:rPr>
                <w:rFonts w:cs="Arial"/>
                <w:sz w:val="18"/>
                <w:szCs w:val="18"/>
              </w:rPr>
            </w:pPr>
            <w:r w:rsidRPr="009E5DE7">
              <w:rPr>
                <w:rFonts w:cs="Arial"/>
                <w:sz w:val="18"/>
                <w:szCs w:val="18"/>
              </w:rPr>
              <w:t>131</w:t>
            </w:r>
          </w:p>
        </w:tc>
      </w:tr>
      <w:tr w:rsidR="00385955" w:rsidRPr="00A76890" w:rsidTr="00562F9C">
        <w:trPr>
          <w:trHeight w:val="20"/>
        </w:trPr>
        <w:tc>
          <w:tcPr>
            <w:tcW w:w="2500" w:type="pct"/>
            <w:tcBorders>
              <w:top w:val="nil"/>
              <w:left w:val="nil"/>
              <w:bottom w:val="nil"/>
              <w:right w:val="nil"/>
            </w:tcBorders>
          </w:tcPr>
          <w:p w:rsidR="00385955" w:rsidRPr="009E5DE7" w:rsidRDefault="00385955" w:rsidP="00704CC0">
            <w:pPr>
              <w:keepNext/>
              <w:keepLines/>
              <w:tabs>
                <w:tab w:val="left" w:pos="567"/>
                <w:tab w:val="left" w:pos="1134"/>
                <w:tab w:val="left" w:pos="1701"/>
                <w:tab w:val="left" w:pos="2268"/>
              </w:tabs>
              <w:ind w:firstLine="540"/>
              <w:rPr>
                <w:rFonts w:cs="Arial"/>
                <w:sz w:val="18"/>
                <w:szCs w:val="18"/>
              </w:rPr>
            </w:pPr>
            <w:r w:rsidRPr="009E5DE7">
              <w:rPr>
                <w:rFonts w:cs="Arial"/>
                <w:sz w:val="18"/>
                <w:szCs w:val="18"/>
              </w:rPr>
              <w:t>Service fee from investee compan</w:t>
            </w:r>
            <w:r w:rsidR="00B47BEE" w:rsidRPr="009E5DE7">
              <w:rPr>
                <w:rFonts w:cs="Arial"/>
                <w:sz w:val="18"/>
                <w:szCs w:val="18"/>
              </w:rPr>
              <w:t>y</w:t>
            </w:r>
          </w:p>
        </w:tc>
        <w:tc>
          <w:tcPr>
            <w:tcW w:w="375" w:type="pct"/>
            <w:tcBorders>
              <w:top w:val="nil"/>
              <w:left w:val="nil"/>
              <w:bottom w:val="nil"/>
              <w:right w:val="nil"/>
            </w:tcBorders>
          </w:tcPr>
          <w:p w:rsidR="00385955" w:rsidRPr="009E5DE7" w:rsidRDefault="00385955" w:rsidP="00704CC0">
            <w:pPr>
              <w:keepNext/>
              <w:keepLines/>
              <w:tabs>
                <w:tab w:val="left" w:pos="567"/>
                <w:tab w:val="left" w:pos="1134"/>
                <w:tab w:val="left" w:pos="1701"/>
                <w:tab w:val="left" w:pos="2268"/>
              </w:tabs>
              <w:rPr>
                <w:rFonts w:cs="Arial"/>
                <w:b/>
                <w:sz w:val="18"/>
                <w:szCs w:val="18"/>
              </w:rPr>
            </w:pPr>
          </w:p>
        </w:tc>
        <w:tc>
          <w:tcPr>
            <w:tcW w:w="1000" w:type="pct"/>
            <w:tcBorders>
              <w:top w:val="nil"/>
              <w:left w:val="nil"/>
              <w:bottom w:val="nil"/>
              <w:right w:val="nil"/>
            </w:tcBorders>
          </w:tcPr>
          <w:p w:rsidR="00385955" w:rsidRPr="009E5DE7" w:rsidRDefault="00ED703D" w:rsidP="00704CC0">
            <w:pPr>
              <w:keepNext/>
              <w:keepLines/>
              <w:tabs>
                <w:tab w:val="left" w:pos="567"/>
                <w:tab w:val="left" w:pos="1134"/>
                <w:tab w:val="left" w:pos="1701"/>
                <w:tab w:val="left" w:pos="2268"/>
              </w:tabs>
              <w:jc w:val="right"/>
              <w:rPr>
                <w:rFonts w:cs="Arial"/>
                <w:b/>
                <w:sz w:val="18"/>
                <w:szCs w:val="18"/>
              </w:rPr>
            </w:pPr>
            <w:r w:rsidRPr="009E5DE7">
              <w:rPr>
                <w:rFonts w:cs="Arial"/>
                <w:b/>
                <w:sz w:val="18"/>
                <w:szCs w:val="18"/>
              </w:rPr>
              <w:t>63</w:t>
            </w:r>
          </w:p>
        </w:tc>
        <w:tc>
          <w:tcPr>
            <w:tcW w:w="125" w:type="pct"/>
            <w:tcBorders>
              <w:top w:val="nil"/>
              <w:left w:val="nil"/>
              <w:bottom w:val="nil"/>
              <w:right w:val="nil"/>
            </w:tcBorders>
          </w:tcPr>
          <w:p w:rsidR="00385955" w:rsidRPr="009E5DE7" w:rsidRDefault="00385955" w:rsidP="00704CC0">
            <w:pPr>
              <w:keepNext/>
              <w:keepLines/>
              <w:tabs>
                <w:tab w:val="left" w:pos="567"/>
                <w:tab w:val="left" w:pos="1134"/>
                <w:tab w:val="left" w:pos="1701"/>
                <w:tab w:val="left" w:pos="2268"/>
              </w:tabs>
              <w:jc w:val="right"/>
              <w:rPr>
                <w:rFonts w:cs="Arial"/>
                <w:sz w:val="18"/>
                <w:szCs w:val="18"/>
              </w:rPr>
            </w:pPr>
          </w:p>
        </w:tc>
        <w:tc>
          <w:tcPr>
            <w:tcW w:w="1000" w:type="pct"/>
            <w:tcBorders>
              <w:top w:val="nil"/>
              <w:left w:val="nil"/>
              <w:bottom w:val="nil"/>
              <w:right w:val="nil"/>
            </w:tcBorders>
          </w:tcPr>
          <w:p w:rsidR="00385955" w:rsidRPr="009E5DE7" w:rsidRDefault="00385955" w:rsidP="00704CC0">
            <w:pPr>
              <w:keepNext/>
              <w:keepLines/>
              <w:tabs>
                <w:tab w:val="left" w:pos="567"/>
                <w:tab w:val="left" w:pos="1134"/>
                <w:tab w:val="left" w:pos="1701"/>
                <w:tab w:val="left" w:pos="2268"/>
              </w:tabs>
              <w:jc w:val="right"/>
              <w:rPr>
                <w:rFonts w:cs="Arial"/>
                <w:sz w:val="18"/>
                <w:szCs w:val="18"/>
              </w:rPr>
            </w:pPr>
            <w:r w:rsidRPr="009E5DE7">
              <w:rPr>
                <w:rFonts w:cs="Arial"/>
                <w:sz w:val="18"/>
                <w:szCs w:val="18"/>
              </w:rPr>
              <w:t>62</w:t>
            </w:r>
          </w:p>
        </w:tc>
      </w:tr>
      <w:tr w:rsidR="00385955" w:rsidRPr="00A76890" w:rsidTr="00562F9C">
        <w:trPr>
          <w:trHeight w:val="20"/>
        </w:trPr>
        <w:tc>
          <w:tcPr>
            <w:tcW w:w="2500" w:type="pct"/>
            <w:tcBorders>
              <w:top w:val="nil"/>
              <w:left w:val="nil"/>
              <w:bottom w:val="nil"/>
              <w:right w:val="nil"/>
            </w:tcBorders>
          </w:tcPr>
          <w:p w:rsidR="00385955" w:rsidRPr="009E5DE7" w:rsidRDefault="009E5DE7" w:rsidP="00704CC0">
            <w:pPr>
              <w:keepNext/>
              <w:keepLines/>
              <w:tabs>
                <w:tab w:val="left" w:pos="567"/>
                <w:tab w:val="left" w:pos="1134"/>
                <w:tab w:val="left" w:pos="1701"/>
                <w:tab w:val="left" w:pos="2268"/>
              </w:tabs>
              <w:rPr>
                <w:rFonts w:cs="Arial"/>
                <w:sz w:val="18"/>
                <w:szCs w:val="18"/>
              </w:rPr>
            </w:pPr>
            <w:r>
              <w:rPr>
                <w:rFonts w:cs="Arial"/>
                <w:sz w:val="18"/>
                <w:szCs w:val="18"/>
              </w:rPr>
              <w:tab/>
            </w:r>
            <w:r w:rsidR="00385955" w:rsidRPr="009E5DE7">
              <w:rPr>
                <w:rFonts w:cs="Arial"/>
                <w:sz w:val="18"/>
                <w:szCs w:val="18"/>
              </w:rPr>
              <w:t>Directors’ fees from investee company</w:t>
            </w:r>
          </w:p>
        </w:tc>
        <w:tc>
          <w:tcPr>
            <w:tcW w:w="375" w:type="pct"/>
            <w:tcBorders>
              <w:top w:val="nil"/>
              <w:left w:val="nil"/>
              <w:bottom w:val="nil"/>
              <w:right w:val="nil"/>
            </w:tcBorders>
          </w:tcPr>
          <w:p w:rsidR="00385955" w:rsidRPr="009E5DE7" w:rsidRDefault="00385955" w:rsidP="00704CC0">
            <w:pPr>
              <w:keepNext/>
              <w:keepLines/>
              <w:tabs>
                <w:tab w:val="left" w:pos="567"/>
                <w:tab w:val="left" w:pos="1134"/>
                <w:tab w:val="left" w:pos="1701"/>
                <w:tab w:val="left" w:pos="2268"/>
              </w:tabs>
              <w:rPr>
                <w:rFonts w:cs="Arial"/>
                <w:b/>
                <w:sz w:val="18"/>
                <w:szCs w:val="18"/>
              </w:rPr>
            </w:pPr>
          </w:p>
        </w:tc>
        <w:tc>
          <w:tcPr>
            <w:tcW w:w="1000" w:type="pct"/>
            <w:tcBorders>
              <w:top w:val="nil"/>
              <w:left w:val="nil"/>
              <w:bottom w:val="nil"/>
              <w:right w:val="nil"/>
            </w:tcBorders>
          </w:tcPr>
          <w:p w:rsidR="00385955" w:rsidRPr="009E5DE7" w:rsidRDefault="00ED703D" w:rsidP="00704CC0">
            <w:pPr>
              <w:keepNext/>
              <w:keepLines/>
              <w:tabs>
                <w:tab w:val="left" w:pos="567"/>
                <w:tab w:val="left" w:pos="1134"/>
                <w:tab w:val="left" w:pos="1701"/>
                <w:tab w:val="left" w:pos="2268"/>
              </w:tabs>
              <w:jc w:val="right"/>
              <w:rPr>
                <w:rFonts w:cs="Arial"/>
                <w:b/>
                <w:sz w:val="18"/>
                <w:szCs w:val="18"/>
              </w:rPr>
            </w:pPr>
            <w:r w:rsidRPr="009E5DE7">
              <w:rPr>
                <w:rFonts w:cs="Arial"/>
                <w:b/>
                <w:sz w:val="18"/>
                <w:szCs w:val="18"/>
              </w:rPr>
              <w:t>-</w:t>
            </w:r>
          </w:p>
        </w:tc>
        <w:tc>
          <w:tcPr>
            <w:tcW w:w="125" w:type="pct"/>
            <w:tcBorders>
              <w:top w:val="nil"/>
              <w:left w:val="nil"/>
              <w:bottom w:val="nil"/>
              <w:right w:val="nil"/>
            </w:tcBorders>
          </w:tcPr>
          <w:p w:rsidR="00385955" w:rsidRPr="009E5DE7" w:rsidRDefault="00385955" w:rsidP="00704CC0">
            <w:pPr>
              <w:keepNext/>
              <w:keepLines/>
              <w:tabs>
                <w:tab w:val="left" w:pos="567"/>
                <w:tab w:val="left" w:pos="1134"/>
                <w:tab w:val="left" w:pos="1701"/>
                <w:tab w:val="left" w:pos="2268"/>
              </w:tabs>
              <w:jc w:val="right"/>
              <w:rPr>
                <w:rFonts w:cs="Arial"/>
                <w:sz w:val="18"/>
                <w:szCs w:val="18"/>
              </w:rPr>
            </w:pPr>
          </w:p>
        </w:tc>
        <w:tc>
          <w:tcPr>
            <w:tcW w:w="1000" w:type="pct"/>
            <w:tcBorders>
              <w:top w:val="nil"/>
              <w:left w:val="nil"/>
              <w:bottom w:val="nil"/>
              <w:right w:val="nil"/>
            </w:tcBorders>
          </w:tcPr>
          <w:p w:rsidR="00385955" w:rsidRPr="009E5DE7" w:rsidRDefault="00385955" w:rsidP="00704CC0">
            <w:pPr>
              <w:keepNext/>
              <w:keepLines/>
              <w:tabs>
                <w:tab w:val="left" w:pos="567"/>
                <w:tab w:val="left" w:pos="1134"/>
                <w:tab w:val="left" w:pos="1701"/>
                <w:tab w:val="left" w:pos="2268"/>
              </w:tabs>
              <w:jc w:val="right"/>
              <w:rPr>
                <w:rFonts w:cs="Arial"/>
                <w:sz w:val="18"/>
                <w:szCs w:val="18"/>
              </w:rPr>
            </w:pPr>
            <w:r w:rsidRPr="009E5DE7">
              <w:rPr>
                <w:rFonts w:cs="Arial"/>
                <w:sz w:val="18"/>
                <w:szCs w:val="18"/>
              </w:rPr>
              <w:t>50</w:t>
            </w:r>
          </w:p>
        </w:tc>
      </w:tr>
      <w:tr w:rsidR="00385955" w:rsidRPr="00A76890" w:rsidTr="00562F9C">
        <w:trPr>
          <w:trHeight w:val="20"/>
        </w:trPr>
        <w:tc>
          <w:tcPr>
            <w:tcW w:w="2500" w:type="pct"/>
            <w:tcBorders>
              <w:top w:val="nil"/>
              <w:left w:val="nil"/>
              <w:bottom w:val="nil"/>
              <w:right w:val="nil"/>
            </w:tcBorders>
          </w:tcPr>
          <w:p w:rsidR="00385955" w:rsidRPr="009E5DE7" w:rsidRDefault="00385955" w:rsidP="00704CC0">
            <w:pPr>
              <w:keepNext/>
              <w:keepLines/>
              <w:tabs>
                <w:tab w:val="left" w:pos="567"/>
                <w:tab w:val="left" w:pos="1134"/>
                <w:tab w:val="left" w:pos="1701"/>
                <w:tab w:val="left" w:pos="2268"/>
              </w:tabs>
              <w:ind w:left="720" w:hanging="180"/>
              <w:rPr>
                <w:rFonts w:cs="Arial"/>
                <w:sz w:val="18"/>
                <w:szCs w:val="18"/>
              </w:rPr>
            </w:pPr>
            <w:r w:rsidRPr="009E5DE7">
              <w:rPr>
                <w:rFonts w:cs="Arial"/>
                <w:sz w:val="18"/>
                <w:szCs w:val="18"/>
              </w:rPr>
              <w:t>Other income</w:t>
            </w:r>
          </w:p>
        </w:tc>
        <w:tc>
          <w:tcPr>
            <w:tcW w:w="375" w:type="pct"/>
            <w:tcBorders>
              <w:top w:val="nil"/>
              <w:left w:val="nil"/>
              <w:bottom w:val="nil"/>
              <w:right w:val="nil"/>
            </w:tcBorders>
          </w:tcPr>
          <w:p w:rsidR="00385955" w:rsidRPr="009E5DE7" w:rsidRDefault="00385955" w:rsidP="00704CC0">
            <w:pPr>
              <w:keepNext/>
              <w:keepLines/>
              <w:tabs>
                <w:tab w:val="left" w:pos="567"/>
                <w:tab w:val="left" w:pos="1134"/>
                <w:tab w:val="left" w:pos="1701"/>
                <w:tab w:val="left" w:pos="2268"/>
              </w:tabs>
              <w:rPr>
                <w:rFonts w:cs="Arial"/>
                <w:b/>
                <w:sz w:val="18"/>
                <w:szCs w:val="18"/>
              </w:rPr>
            </w:pPr>
          </w:p>
        </w:tc>
        <w:tc>
          <w:tcPr>
            <w:tcW w:w="1000" w:type="pct"/>
            <w:tcBorders>
              <w:top w:val="nil"/>
              <w:left w:val="nil"/>
              <w:bottom w:val="single" w:sz="8" w:space="0" w:color="auto"/>
              <w:right w:val="nil"/>
            </w:tcBorders>
          </w:tcPr>
          <w:p w:rsidR="00385955" w:rsidRPr="009E5DE7" w:rsidRDefault="00ED703D" w:rsidP="00704CC0">
            <w:pPr>
              <w:keepNext/>
              <w:keepLines/>
              <w:tabs>
                <w:tab w:val="left" w:pos="567"/>
                <w:tab w:val="left" w:pos="1134"/>
                <w:tab w:val="left" w:pos="1701"/>
                <w:tab w:val="left" w:pos="2268"/>
              </w:tabs>
              <w:jc w:val="right"/>
              <w:rPr>
                <w:rFonts w:cs="Arial"/>
                <w:b/>
                <w:sz w:val="18"/>
                <w:szCs w:val="18"/>
              </w:rPr>
            </w:pPr>
            <w:r w:rsidRPr="009E5DE7">
              <w:rPr>
                <w:rFonts w:cs="Arial"/>
                <w:b/>
                <w:sz w:val="18"/>
                <w:szCs w:val="18"/>
              </w:rPr>
              <w:t>-</w:t>
            </w:r>
          </w:p>
        </w:tc>
        <w:tc>
          <w:tcPr>
            <w:tcW w:w="125" w:type="pct"/>
            <w:tcBorders>
              <w:top w:val="nil"/>
              <w:left w:val="nil"/>
              <w:bottom w:val="nil"/>
              <w:right w:val="nil"/>
            </w:tcBorders>
          </w:tcPr>
          <w:p w:rsidR="00385955" w:rsidRPr="009E5DE7" w:rsidRDefault="00385955" w:rsidP="00704CC0">
            <w:pPr>
              <w:keepNext/>
              <w:keepLines/>
              <w:tabs>
                <w:tab w:val="left" w:pos="567"/>
                <w:tab w:val="left" w:pos="1134"/>
                <w:tab w:val="left" w:pos="1701"/>
                <w:tab w:val="left" w:pos="2268"/>
              </w:tabs>
              <w:jc w:val="right"/>
              <w:rPr>
                <w:rFonts w:cs="Arial"/>
                <w:sz w:val="18"/>
                <w:szCs w:val="18"/>
              </w:rPr>
            </w:pPr>
          </w:p>
        </w:tc>
        <w:tc>
          <w:tcPr>
            <w:tcW w:w="1000" w:type="pct"/>
            <w:tcBorders>
              <w:top w:val="nil"/>
              <w:left w:val="nil"/>
              <w:bottom w:val="single" w:sz="4" w:space="0" w:color="auto"/>
              <w:right w:val="nil"/>
            </w:tcBorders>
          </w:tcPr>
          <w:p w:rsidR="00385955" w:rsidRPr="009E5DE7" w:rsidRDefault="00385955" w:rsidP="00704CC0">
            <w:pPr>
              <w:keepNext/>
              <w:keepLines/>
              <w:tabs>
                <w:tab w:val="left" w:pos="567"/>
                <w:tab w:val="left" w:pos="1134"/>
                <w:tab w:val="left" w:pos="1701"/>
                <w:tab w:val="left" w:pos="2268"/>
              </w:tabs>
              <w:jc w:val="right"/>
              <w:rPr>
                <w:rFonts w:cs="Arial"/>
                <w:sz w:val="18"/>
                <w:szCs w:val="18"/>
              </w:rPr>
            </w:pPr>
            <w:r w:rsidRPr="009E5DE7">
              <w:rPr>
                <w:rFonts w:cs="Arial"/>
                <w:sz w:val="18"/>
                <w:szCs w:val="18"/>
              </w:rPr>
              <w:t>9</w:t>
            </w:r>
          </w:p>
        </w:tc>
      </w:tr>
      <w:tr w:rsidR="00385955" w:rsidRPr="00A76890" w:rsidTr="00562F9C">
        <w:trPr>
          <w:trHeight w:val="20"/>
        </w:trPr>
        <w:tc>
          <w:tcPr>
            <w:tcW w:w="2500" w:type="pct"/>
            <w:tcBorders>
              <w:top w:val="nil"/>
              <w:left w:val="nil"/>
              <w:bottom w:val="nil"/>
              <w:right w:val="nil"/>
            </w:tcBorders>
          </w:tcPr>
          <w:p w:rsidR="00385955" w:rsidRPr="009E5DE7" w:rsidRDefault="00385955" w:rsidP="00704CC0">
            <w:pPr>
              <w:keepNext/>
              <w:keepLines/>
              <w:tabs>
                <w:tab w:val="left" w:pos="567"/>
                <w:tab w:val="left" w:pos="1134"/>
                <w:tab w:val="left" w:pos="1701"/>
                <w:tab w:val="left" w:pos="2268"/>
              </w:tabs>
              <w:rPr>
                <w:rFonts w:cs="Arial"/>
                <w:b/>
                <w:sz w:val="18"/>
                <w:szCs w:val="18"/>
              </w:rPr>
            </w:pPr>
          </w:p>
        </w:tc>
        <w:tc>
          <w:tcPr>
            <w:tcW w:w="375" w:type="pct"/>
            <w:tcBorders>
              <w:top w:val="nil"/>
              <w:left w:val="nil"/>
              <w:bottom w:val="nil"/>
              <w:right w:val="nil"/>
            </w:tcBorders>
          </w:tcPr>
          <w:p w:rsidR="00385955" w:rsidRPr="009E5DE7" w:rsidRDefault="00385955" w:rsidP="00704CC0">
            <w:pPr>
              <w:keepNext/>
              <w:keepLines/>
              <w:tabs>
                <w:tab w:val="left" w:pos="567"/>
                <w:tab w:val="left" w:pos="1134"/>
                <w:tab w:val="left" w:pos="1701"/>
                <w:tab w:val="left" w:pos="2268"/>
              </w:tabs>
              <w:rPr>
                <w:rFonts w:cs="Arial"/>
                <w:b/>
                <w:sz w:val="18"/>
                <w:szCs w:val="18"/>
              </w:rPr>
            </w:pPr>
          </w:p>
        </w:tc>
        <w:tc>
          <w:tcPr>
            <w:tcW w:w="1000" w:type="pct"/>
            <w:tcBorders>
              <w:top w:val="single" w:sz="8" w:space="0" w:color="auto"/>
              <w:left w:val="nil"/>
              <w:bottom w:val="single" w:sz="4" w:space="0" w:color="auto"/>
              <w:right w:val="nil"/>
            </w:tcBorders>
          </w:tcPr>
          <w:p w:rsidR="00385955" w:rsidRPr="009E5DE7" w:rsidRDefault="00ED703D" w:rsidP="00704CC0">
            <w:pPr>
              <w:keepNext/>
              <w:keepLines/>
              <w:tabs>
                <w:tab w:val="left" w:pos="567"/>
                <w:tab w:val="left" w:pos="1134"/>
                <w:tab w:val="left" w:pos="1701"/>
                <w:tab w:val="left" w:pos="2268"/>
              </w:tabs>
              <w:jc w:val="right"/>
              <w:rPr>
                <w:rFonts w:cs="Arial"/>
                <w:b/>
                <w:sz w:val="18"/>
                <w:szCs w:val="18"/>
              </w:rPr>
            </w:pPr>
            <w:r w:rsidRPr="009E5DE7">
              <w:rPr>
                <w:rFonts w:cs="Arial"/>
                <w:b/>
                <w:sz w:val="18"/>
                <w:szCs w:val="18"/>
              </w:rPr>
              <w:t>198</w:t>
            </w:r>
          </w:p>
        </w:tc>
        <w:tc>
          <w:tcPr>
            <w:tcW w:w="125" w:type="pct"/>
            <w:tcBorders>
              <w:top w:val="nil"/>
              <w:left w:val="nil"/>
              <w:bottom w:val="nil"/>
              <w:right w:val="nil"/>
            </w:tcBorders>
          </w:tcPr>
          <w:p w:rsidR="00385955" w:rsidRPr="009E5DE7" w:rsidRDefault="00385955" w:rsidP="00704CC0">
            <w:pPr>
              <w:keepNext/>
              <w:keepLines/>
              <w:tabs>
                <w:tab w:val="left" w:pos="567"/>
                <w:tab w:val="left" w:pos="1134"/>
                <w:tab w:val="left" w:pos="1701"/>
                <w:tab w:val="left" w:pos="2268"/>
              </w:tabs>
              <w:jc w:val="right"/>
              <w:rPr>
                <w:rFonts w:cs="Arial"/>
                <w:sz w:val="18"/>
                <w:szCs w:val="18"/>
              </w:rPr>
            </w:pPr>
          </w:p>
        </w:tc>
        <w:tc>
          <w:tcPr>
            <w:tcW w:w="1000" w:type="pct"/>
            <w:tcBorders>
              <w:top w:val="single" w:sz="4" w:space="0" w:color="auto"/>
              <w:left w:val="nil"/>
              <w:bottom w:val="single" w:sz="4" w:space="0" w:color="auto"/>
              <w:right w:val="nil"/>
            </w:tcBorders>
          </w:tcPr>
          <w:p w:rsidR="00385955" w:rsidRPr="009E5DE7" w:rsidRDefault="00385955" w:rsidP="00704CC0">
            <w:pPr>
              <w:keepNext/>
              <w:keepLines/>
              <w:tabs>
                <w:tab w:val="left" w:pos="567"/>
                <w:tab w:val="left" w:pos="1134"/>
                <w:tab w:val="left" w:pos="1701"/>
                <w:tab w:val="left" w:pos="2268"/>
              </w:tabs>
              <w:jc w:val="right"/>
              <w:rPr>
                <w:rFonts w:cs="Arial"/>
                <w:sz w:val="18"/>
                <w:szCs w:val="18"/>
              </w:rPr>
            </w:pPr>
            <w:r w:rsidRPr="009E5DE7">
              <w:rPr>
                <w:rFonts w:cs="Arial"/>
                <w:sz w:val="18"/>
                <w:szCs w:val="18"/>
              </w:rPr>
              <w:t>352</w:t>
            </w:r>
          </w:p>
        </w:tc>
      </w:tr>
    </w:tbl>
    <w:p w:rsidR="00EE34A7" w:rsidRPr="00A76890" w:rsidRDefault="00ED1389" w:rsidP="00704CC0">
      <w:pPr>
        <w:pStyle w:val="Normal2-Para"/>
        <w:spacing w:line="240" w:lineRule="auto"/>
        <w:ind w:left="567"/>
      </w:pPr>
      <w:r>
        <w:t xml:space="preserve">* </w:t>
      </w:r>
      <w:r w:rsidR="0092140F" w:rsidRPr="00A76890">
        <w:t>Represents fee from the co-investment vehicle.</w:t>
      </w:r>
    </w:p>
    <w:p w:rsidR="00863596" w:rsidRPr="00C017A8" w:rsidRDefault="0092140F" w:rsidP="00704CC0">
      <w:pPr>
        <w:keepNext/>
        <w:keepLines/>
        <w:numPr>
          <w:ilvl w:val="0"/>
          <w:numId w:val="4"/>
        </w:numPr>
        <w:tabs>
          <w:tab w:val="clear" w:pos="810"/>
          <w:tab w:val="left" w:pos="567"/>
          <w:tab w:val="left" w:pos="1134"/>
          <w:tab w:val="left" w:pos="1701"/>
          <w:tab w:val="left" w:pos="2268"/>
        </w:tabs>
        <w:spacing w:before="240" w:after="120"/>
        <w:ind w:left="567" w:hanging="567"/>
        <w:rPr>
          <w:rFonts w:cs="Arial"/>
          <w:b/>
        </w:rPr>
      </w:pPr>
      <w:r w:rsidRPr="00C017A8">
        <w:rPr>
          <w:rFonts w:cs="Arial"/>
          <w:b/>
        </w:rPr>
        <w:t>Net losses on financial assets at fair value through profit or loss</w:t>
      </w:r>
    </w:p>
    <w:tbl>
      <w:tblPr>
        <w:tblW w:w="8953" w:type="dxa"/>
        <w:tblCellMar>
          <w:top w:w="28" w:type="dxa"/>
          <w:left w:w="57" w:type="dxa"/>
          <w:bottom w:w="28" w:type="dxa"/>
          <w:right w:w="57" w:type="dxa"/>
        </w:tblCellMar>
        <w:tblLook w:val="0000"/>
      </w:tblPr>
      <w:tblGrid>
        <w:gridCol w:w="5145"/>
        <w:gridCol w:w="1792"/>
        <w:gridCol w:w="224"/>
        <w:gridCol w:w="1792"/>
      </w:tblGrid>
      <w:tr w:rsidR="00C017A8" w:rsidRPr="00C017A8" w:rsidTr="00562F9C">
        <w:trPr>
          <w:trHeight w:val="578"/>
          <w:tblHeader/>
        </w:trPr>
        <w:tc>
          <w:tcPr>
            <w:tcW w:w="2871" w:type="pct"/>
          </w:tcPr>
          <w:p w:rsidR="00C017A8" w:rsidRPr="00C017A8" w:rsidRDefault="00C017A8" w:rsidP="00704CC0">
            <w:pPr>
              <w:pStyle w:val="Heading2"/>
              <w:tabs>
                <w:tab w:val="left" w:pos="567"/>
                <w:tab w:val="left" w:pos="1134"/>
                <w:tab w:val="left" w:pos="1701"/>
                <w:tab w:val="left" w:pos="2268"/>
              </w:tabs>
              <w:spacing w:line="240" w:lineRule="auto"/>
              <w:jc w:val="left"/>
              <w:rPr>
                <w:rFonts w:cs="Arial"/>
                <w:b w:val="0"/>
                <w:sz w:val="18"/>
                <w:szCs w:val="18"/>
              </w:rPr>
            </w:pPr>
          </w:p>
        </w:tc>
        <w:tc>
          <w:tcPr>
            <w:tcW w:w="1000" w:type="pct"/>
          </w:tcPr>
          <w:p w:rsidR="00C017A8" w:rsidRPr="00C017A8" w:rsidRDefault="00C017A8" w:rsidP="00704CC0">
            <w:pPr>
              <w:pStyle w:val="newline"/>
              <w:tabs>
                <w:tab w:val="clear" w:pos="737"/>
                <w:tab w:val="clear" w:pos="1474"/>
                <w:tab w:val="clear" w:pos="2041"/>
                <w:tab w:val="clear" w:pos="5954"/>
                <w:tab w:val="clear" w:pos="7655"/>
                <w:tab w:val="left" w:pos="567"/>
                <w:tab w:val="left" w:pos="1134"/>
                <w:tab w:val="left" w:pos="1701"/>
                <w:tab w:val="left" w:pos="2268"/>
              </w:tabs>
              <w:jc w:val="right"/>
              <w:rPr>
                <w:rFonts w:cs="Arial"/>
                <w:b/>
                <w:sz w:val="18"/>
                <w:szCs w:val="18"/>
              </w:rPr>
            </w:pPr>
            <w:r w:rsidRPr="00C017A8">
              <w:rPr>
                <w:rFonts w:cs="Arial"/>
                <w:b/>
                <w:sz w:val="18"/>
                <w:szCs w:val="18"/>
              </w:rPr>
              <w:t>2013</w:t>
            </w:r>
          </w:p>
          <w:p w:rsidR="00C017A8" w:rsidRPr="00C017A8" w:rsidRDefault="00C017A8" w:rsidP="00704CC0">
            <w:pPr>
              <w:pStyle w:val="newline"/>
              <w:tabs>
                <w:tab w:val="left" w:pos="567"/>
                <w:tab w:val="left" w:pos="1134"/>
                <w:tab w:val="left" w:pos="1701"/>
                <w:tab w:val="left" w:pos="2268"/>
              </w:tabs>
              <w:jc w:val="right"/>
              <w:rPr>
                <w:rFonts w:cs="Arial"/>
                <w:b/>
                <w:sz w:val="18"/>
                <w:szCs w:val="18"/>
              </w:rPr>
            </w:pPr>
            <w:r w:rsidRPr="00C017A8">
              <w:rPr>
                <w:rFonts w:cs="Arial"/>
                <w:b/>
                <w:bCs/>
                <w:sz w:val="18"/>
                <w:szCs w:val="18"/>
              </w:rPr>
              <w:t>£'000</w:t>
            </w:r>
          </w:p>
        </w:tc>
        <w:tc>
          <w:tcPr>
            <w:tcW w:w="125" w:type="pct"/>
          </w:tcPr>
          <w:p w:rsidR="00C017A8" w:rsidRPr="00C017A8" w:rsidRDefault="00C017A8" w:rsidP="00704CC0">
            <w:pPr>
              <w:tabs>
                <w:tab w:val="left" w:pos="567"/>
                <w:tab w:val="left" w:pos="1134"/>
                <w:tab w:val="left" w:pos="1701"/>
                <w:tab w:val="left" w:pos="2268"/>
              </w:tabs>
              <w:ind w:right="-108"/>
              <w:jc w:val="right"/>
              <w:rPr>
                <w:rFonts w:cs="Arial"/>
                <w:sz w:val="18"/>
                <w:szCs w:val="18"/>
              </w:rPr>
            </w:pPr>
          </w:p>
        </w:tc>
        <w:tc>
          <w:tcPr>
            <w:tcW w:w="1000" w:type="pct"/>
          </w:tcPr>
          <w:p w:rsidR="00C017A8" w:rsidRPr="00C017A8" w:rsidRDefault="00C017A8" w:rsidP="00704CC0">
            <w:pPr>
              <w:pStyle w:val="newline"/>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r w:rsidRPr="00C017A8">
              <w:rPr>
                <w:rFonts w:cs="Arial"/>
                <w:sz w:val="18"/>
                <w:szCs w:val="18"/>
              </w:rPr>
              <w:t>2012</w:t>
            </w:r>
          </w:p>
          <w:p w:rsidR="00C017A8" w:rsidRPr="00C017A8" w:rsidRDefault="00C017A8" w:rsidP="00704CC0">
            <w:pPr>
              <w:pStyle w:val="newline"/>
              <w:tabs>
                <w:tab w:val="left" w:pos="567"/>
                <w:tab w:val="left" w:pos="1134"/>
                <w:tab w:val="left" w:pos="1701"/>
                <w:tab w:val="left" w:pos="2268"/>
              </w:tabs>
              <w:jc w:val="right"/>
              <w:rPr>
                <w:rFonts w:cs="Arial"/>
                <w:sz w:val="18"/>
                <w:szCs w:val="18"/>
              </w:rPr>
            </w:pPr>
            <w:r w:rsidRPr="00C017A8">
              <w:rPr>
                <w:rFonts w:cs="Arial"/>
                <w:bCs/>
                <w:sz w:val="18"/>
                <w:szCs w:val="18"/>
              </w:rPr>
              <w:t>£'000</w:t>
            </w:r>
          </w:p>
        </w:tc>
      </w:tr>
      <w:tr w:rsidR="0006794C" w:rsidRPr="00C017A8" w:rsidTr="00562F9C">
        <w:tc>
          <w:tcPr>
            <w:tcW w:w="2871" w:type="pct"/>
            <w:shd w:val="clear" w:color="auto" w:fill="auto"/>
          </w:tcPr>
          <w:p w:rsidR="0006794C" w:rsidRPr="00C017A8" w:rsidRDefault="0006794C" w:rsidP="00704CC0">
            <w:pPr>
              <w:tabs>
                <w:tab w:val="left" w:pos="567"/>
                <w:tab w:val="left" w:pos="1134"/>
                <w:tab w:val="left" w:pos="1701"/>
                <w:tab w:val="left" w:pos="2268"/>
              </w:tabs>
              <w:ind w:left="567"/>
              <w:rPr>
                <w:rFonts w:cs="Arial"/>
                <w:i/>
                <w:sz w:val="18"/>
                <w:szCs w:val="18"/>
              </w:rPr>
            </w:pPr>
            <w:r w:rsidRPr="00C017A8">
              <w:rPr>
                <w:rFonts w:cs="Arial"/>
                <w:i/>
                <w:sz w:val="18"/>
                <w:szCs w:val="18"/>
              </w:rPr>
              <w:t>Financial assets designated as fair value through profit or loss</w:t>
            </w:r>
          </w:p>
        </w:tc>
        <w:tc>
          <w:tcPr>
            <w:tcW w:w="1000" w:type="pct"/>
            <w:shd w:val="clear" w:color="auto" w:fill="auto"/>
          </w:tcPr>
          <w:p w:rsidR="0006794C" w:rsidRPr="00C017A8" w:rsidRDefault="0006794C" w:rsidP="00704CC0">
            <w:pPr>
              <w:pStyle w:val="newline"/>
              <w:tabs>
                <w:tab w:val="clear" w:pos="737"/>
                <w:tab w:val="clear" w:pos="1474"/>
                <w:tab w:val="clear" w:pos="2041"/>
                <w:tab w:val="clear" w:pos="5954"/>
                <w:tab w:val="clear" w:pos="7655"/>
                <w:tab w:val="left" w:pos="567"/>
                <w:tab w:val="left" w:pos="1134"/>
                <w:tab w:val="left" w:pos="1701"/>
                <w:tab w:val="left" w:pos="2268"/>
              </w:tabs>
              <w:jc w:val="center"/>
              <w:rPr>
                <w:rFonts w:cs="Arial"/>
                <w:b/>
                <w:sz w:val="18"/>
                <w:szCs w:val="18"/>
              </w:rPr>
            </w:pPr>
          </w:p>
        </w:tc>
        <w:tc>
          <w:tcPr>
            <w:tcW w:w="125" w:type="pct"/>
            <w:shd w:val="clear" w:color="auto" w:fill="auto"/>
          </w:tcPr>
          <w:p w:rsidR="0006794C" w:rsidRPr="00C017A8" w:rsidRDefault="0006794C" w:rsidP="00704CC0">
            <w:pPr>
              <w:tabs>
                <w:tab w:val="left" w:pos="567"/>
                <w:tab w:val="left" w:pos="1134"/>
                <w:tab w:val="left" w:pos="1701"/>
                <w:tab w:val="left" w:pos="2268"/>
              </w:tabs>
              <w:ind w:right="-108"/>
              <w:jc w:val="center"/>
              <w:rPr>
                <w:rFonts w:cs="Arial"/>
                <w:sz w:val="18"/>
                <w:szCs w:val="18"/>
              </w:rPr>
            </w:pPr>
          </w:p>
        </w:tc>
        <w:tc>
          <w:tcPr>
            <w:tcW w:w="1000" w:type="pct"/>
            <w:shd w:val="clear" w:color="auto" w:fill="auto"/>
          </w:tcPr>
          <w:p w:rsidR="0006794C" w:rsidRPr="00C017A8" w:rsidRDefault="0006794C" w:rsidP="00704CC0">
            <w:pPr>
              <w:pStyle w:val="newline"/>
              <w:tabs>
                <w:tab w:val="clear" w:pos="737"/>
                <w:tab w:val="clear" w:pos="1474"/>
                <w:tab w:val="clear" w:pos="2041"/>
                <w:tab w:val="clear" w:pos="5954"/>
                <w:tab w:val="clear" w:pos="7655"/>
                <w:tab w:val="left" w:pos="567"/>
                <w:tab w:val="left" w:pos="1134"/>
                <w:tab w:val="left" w:pos="1701"/>
                <w:tab w:val="left" w:pos="2268"/>
              </w:tabs>
              <w:jc w:val="center"/>
              <w:rPr>
                <w:rFonts w:cs="Arial"/>
                <w:sz w:val="18"/>
                <w:szCs w:val="18"/>
              </w:rPr>
            </w:pPr>
          </w:p>
        </w:tc>
      </w:tr>
      <w:tr w:rsidR="008D06BD" w:rsidRPr="00C017A8" w:rsidTr="00562F9C">
        <w:tc>
          <w:tcPr>
            <w:tcW w:w="2871" w:type="pct"/>
            <w:shd w:val="clear" w:color="auto" w:fill="auto"/>
          </w:tcPr>
          <w:p w:rsidR="008D06BD" w:rsidRPr="00C017A8" w:rsidRDefault="008D06BD" w:rsidP="00704CC0">
            <w:pPr>
              <w:tabs>
                <w:tab w:val="left" w:pos="567"/>
                <w:tab w:val="left" w:pos="1134"/>
                <w:tab w:val="left" w:pos="1701"/>
                <w:tab w:val="left" w:pos="2268"/>
              </w:tabs>
              <w:ind w:left="851"/>
              <w:rPr>
                <w:rFonts w:cs="Arial"/>
                <w:sz w:val="18"/>
                <w:szCs w:val="18"/>
              </w:rPr>
            </w:pPr>
            <w:proofErr w:type="spellStart"/>
            <w:r w:rsidRPr="00C017A8">
              <w:rPr>
                <w:rFonts w:cs="Arial"/>
                <w:sz w:val="18"/>
                <w:szCs w:val="18"/>
              </w:rPr>
              <w:t>Unrealised</w:t>
            </w:r>
            <w:proofErr w:type="spellEnd"/>
            <w:r w:rsidRPr="00C017A8">
              <w:rPr>
                <w:rFonts w:cs="Arial"/>
                <w:sz w:val="18"/>
                <w:szCs w:val="18"/>
              </w:rPr>
              <w:t xml:space="preserve"> gains on investments</w:t>
            </w:r>
          </w:p>
        </w:tc>
        <w:tc>
          <w:tcPr>
            <w:tcW w:w="1000" w:type="pct"/>
            <w:shd w:val="clear" w:color="auto" w:fill="auto"/>
          </w:tcPr>
          <w:p w:rsidR="008D06BD" w:rsidRPr="00C017A8" w:rsidRDefault="00ED703D" w:rsidP="00704CC0">
            <w:pPr>
              <w:pStyle w:val="newline"/>
              <w:tabs>
                <w:tab w:val="clear" w:pos="737"/>
                <w:tab w:val="clear" w:pos="1474"/>
                <w:tab w:val="clear" w:pos="2041"/>
                <w:tab w:val="clear" w:pos="5954"/>
                <w:tab w:val="clear" w:pos="7655"/>
                <w:tab w:val="left" w:pos="567"/>
                <w:tab w:val="left" w:pos="1134"/>
                <w:tab w:val="left" w:pos="1701"/>
                <w:tab w:val="left" w:pos="2268"/>
              </w:tabs>
              <w:ind w:left="180"/>
              <w:jc w:val="right"/>
              <w:rPr>
                <w:rFonts w:cs="Arial"/>
                <w:b/>
                <w:sz w:val="18"/>
                <w:szCs w:val="18"/>
              </w:rPr>
            </w:pPr>
            <w:r w:rsidRPr="00C017A8">
              <w:rPr>
                <w:rFonts w:cs="Arial"/>
                <w:b/>
                <w:sz w:val="18"/>
                <w:szCs w:val="18"/>
              </w:rPr>
              <w:t>431</w:t>
            </w:r>
          </w:p>
        </w:tc>
        <w:tc>
          <w:tcPr>
            <w:tcW w:w="125" w:type="pct"/>
            <w:shd w:val="clear" w:color="auto" w:fill="auto"/>
          </w:tcPr>
          <w:p w:rsidR="008D06BD" w:rsidRPr="00C017A8" w:rsidRDefault="008D06BD" w:rsidP="00704CC0">
            <w:pPr>
              <w:tabs>
                <w:tab w:val="left" w:pos="567"/>
                <w:tab w:val="left" w:pos="1134"/>
                <w:tab w:val="left" w:pos="1701"/>
                <w:tab w:val="left" w:pos="2268"/>
              </w:tabs>
              <w:ind w:right="-108"/>
              <w:jc w:val="right"/>
              <w:rPr>
                <w:rFonts w:cs="Arial"/>
                <w:sz w:val="18"/>
                <w:szCs w:val="18"/>
              </w:rPr>
            </w:pPr>
          </w:p>
        </w:tc>
        <w:tc>
          <w:tcPr>
            <w:tcW w:w="1000" w:type="pct"/>
            <w:shd w:val="clear" w:color="auto" w:fill="auto"/>
          </w:tcPr>
          <w:p w:rsidR="008D06BD" w:rsidRPr="00C017A8" w:rsidRDefault="008D06BD" w:rsidP="00704CC0">
            <w:pPr>
              <w:pStyle w:val="newline"/>
              <w:tabs>
                <w:tab w:val="clear" w:pos="737"/>
                <w:tab w:val="clear" w:pos="1474"/>
                <w:tab w:val="clear" w:pos="2041"/>
                <w:tab w:val="clear" w:pos="5954"/>
                <w:tab w:val="clear" w:pos="7655"/>
                <w:tab w:val="left" w:pos="567"/>
                <w:tab w:val="left" w:pos="1134"/>
                <w:tab w:val="left" w:pos="1701"/>
                <w:tab w:val="left" w:pos="2268"/>
              </w:tabs>
              <w:ind w:left="180"/>
              <w:jc w:val="right"/>
              <w:rPr>
                <w:rFonts w:cs="Arial"/>
                <w:sz w:val="18"/>
                <w:szCs w:val="18"/>
              </w:rPr>
            </w:pPr>
            <w:r w:rsidRPr="00C017A8">
              <w:rPr>
                <w:rFonts w:cs="Arial"/>
                <w:sz w:val="18"/>
                <w:szCs w:val="18"/>
              </w:rPr>
              <w:t>1,359</w:t>
            </w:r>
          </w:p>
        </w:tc>
      </w:tr>
      <w:tr w:rsidR="008D06BD" w:rsidRPr="00C017A8" w:rsidTr="00562F9C">
        <w:tc>
          <w:tcPr>
            <w:tcW w:w="2871" w:type="pct"/>
            <w:shd w:val="clear" w:color="auto" w:fill="auto"/>
          </w:tcPr>
          <w:p w:rsidR="008D06BD" w:rsidRPr="00C017A8" w:rsidRDefault="008D06BD" w:rsidP="00704CC0">
            <w:pPr>
              <w:tabs>
                <w:tab w:val="left" w:pos="567"/>
                <w:tab w:val="left" w:pos="1134"/>
                <w:tab w:val="left" w:pos="1701"/>
                <w:tab w:val="left" w:pos="2268"/>
              </w:tabs>
              <w:ind w:left="851"/>
              <w:rPr>
                <w:rFonts w:cs="Arial"/>
                <w:sz w:val="18"/>
                <w:szCs w:val="18"/>
              </w:rPr>
            </w:pPr>
            <w:proofErr w:type="spellStart"/>
            <w:r w:rsidRPr="00C017A8">
              <w:rPr>
                <w:rFonts w:cs="Arial"/>
                <w:sz w:val="18"/>
                <w:szCs w:val="18"/>
              </w:rPr>
              <w:t>Unrealised</w:t>
            </w:r>
            <w:proofErr w:type="spellEnd"/>
            <w:r w:rsidRPr="00C017A8">
              <w:rPr>
                <w:rFonts w:cs="Arial"/>
                <w:sz w:val="18"/>
                <w:szCs w:val="18"/>
              </w:rPr>
              <w:t xml:space="preserve"> losses on investments</w:t>
            </w:r>
          </w:p>
        </w:tc>
        <w:tc>
          <w:tcPr>
            <w:tcW w:w="1000" w:type="pct"/>
            <w:shd w:val="clear" w:color="auto" w:fill="auto"/>
          </w:tcPr>
          <w:p w:rsidR="008D06BD" w:rsidRPr="00C017A8" w:rsidRDefault="00ED703D" w:rsidP="00704CC0">
            <w:pPr>
              <w:pStyle w:val="newline"/>
              <w:tabs>
                <w:tab w:val="clear" w:pos="737"/>
                <w:tab w:val="clear" w:pos="1474"/>
                <w:tab w:val="clear" w:pos="2041"/>
                <w:tab w:val="clear" w:pos="5954"/>
                <w:tab w:val="clear" w:pos="7655"/>
                <w:tab w:val="left" w:pos="567"/>
                <w:tab w:val="left" w:pos="1134"/>
                <w:tab w:val="left" w:pos="1701"/>
                <w:tab w:val="left" w:pos="2268"/>
              </w:tabs>
              <w:jc w:val="right"/>
              <w:rPr>
                <w:rFonts w:cs="Arial"/>
                <w:b/>
                <w:sz w:val="18"/>
                <w:szCs w:val="18"/>
              </w:rPr>
            </w:pPr>
            <w:r w:rsidRPr="00C017A8">
              <w:rPr>
                <w:rFonts w:cs="Arial"/>
                <w:b/>
                <w:sz w:val="18"/>
                <w:szCs w:val="18"/>
              </w:rPr>
              <w:t>(3,113)</w:t>
            </w:r>
          </w:p>
        </w:tc>
        <w:tc>
          <w:tcPr>
            <w:tcW w:w="125" w:type="pct"/>
            <w:shd w:val="clear" w:color="auto" w:fill="auto"/>
          </w:tcPr>
          <w:p w:rsidR="008D06BD" w:rsidRPr="00C017A8" w:rsidRDefault="008D06BD" w:rsidP="00704CC0">
            <w:pPr>
              <w:keepNext/>
              <w:tabs>
                <w:tab w:val="left" w:pos="567"/>
                <w:tab w:val="left" w:pos="1134"/>
                <w:tab w:val="left" w:pos="1701"/>
                <w:tab w:val="left" w:pos="2268"/>
              </w:tabs>
              <w:ind w:right="-108"/>
              <w:jc w:val="right"/>
              <w:outlineLvl w:val="1"/>
              <w:rPr>
                <w:rFonts w:cs="Arial"/>
                <w:sz w:val="18"/>
                <w:szCs w:val="18"/>
              </w:rPr>
            </w:pPr>
          </w:p>
        </w:tc>
        <w:tc>
          <w:tcPr>
            <w:tcW w:w="1000" w:type="pct"/>
            <w:shd w:val="clear" w:color="auto" w:fill="auto"/>
          </w:tcPr>
          <w:p w:rsidR="008D06BD" w:rsidRPr="00C017A8" w:rsidRDefault="008D06BD" w:rsidP="00704CC0">
            <w:pPr>
              <w:pStyle w:val="newline"/>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r w:rsidRPr="00C017A8">
              <w:rPr>
                <w:rFonts w:cs="Arial"/>
                <w:sz w:val="18"/>
                <w:szCs w:val="18"/>
              </w:rPr>
              <w:t>(4,397)</w:t>
            </w:r>
          </w:p>
        </w:tc>
      </w:tr>
      <w:tr w:rsidR="008D06BD" w:rsidRPr="00C017A8" w:rsidTr="00562F9C">
        <w:tc>
          <w:tcPr>
            <w:tcW w:w="2871" w:type="pct"/>
            <w:shd w:val="clear" w:color="auto" w:fill="auto"/>
          </w:tcPr>
          <w:p w:rsidR="008D06BD" w:rsidRPr="00C017A8" w:rsidRDefault="008D06BD" w:rsidP="00704CC0">
            <w:pPr>
              <w:tabs>
                <w:tab w:val="left" w:pos="567"/>
                <w:tab w:val="left" w:pos="1134"/>
                <w:tab w:val="left" w:pos="1701"/>
                <w:tab w:val="left" w:pos="2268"/>
              </w:tabs>
              <w:ind w:left="851"/>
              <w:rPr>
                <w:rFonts w:cs="Arial"/>
                <w:sz w:val="18"/>
                <w:szCs w:val="18"/>
              </w:rPr>
            </w:pPr>
            <w:proofErr w:type="spellStart"/>
            <w:r w:rsidRPr="00C017A8">
              <w:rPr>
                <w:rFonts w:cs="Arial"/>
                <w:sz w:val="18"/>
                <w:szCs w:val="18"/>
              </w:rPr>
              <w:t>Realised</w:t>
            </w:r>
            <w:proofErr w:type="spellEnd"/>
            <w:r w:rsidRPr="00C017A8">
              <w:rPr>
                <w:rFonts w:cs="Arial"/>
                <w:sz w:val="18"/>
                <w:szCs w:val="18"/>
              </w:rPr>
              <w:t xml:space="preserve">  loss on investments</w:t>
            </w:r>
          </w:p>
        </w:tc>
        <w:tc>
          <w:tcPr>
            <w:tcW w:w="1000" w:type="pct"/>
            <w:tcBorders>
              <w:bottom w:val="single" w:sz="4" w:space="0" w:color="auto"/>
            </w:tcBorders>
            <w:shd w:val="clear" w:color="auto" w:fill="auto"/>
          </w:tcPr>
          <w:p w:rsidR="008D06BD" w:rsidRPr="00C017A8" w:rsidRDefault="00ED703D" w:rsidP="00704CC0">
            <w:pPr>
              <w:pStyle w:val="newline"/>
              <w:tabs>
                <w:tab w:val="clear" w:pos="737"/>
                <w:tab w:val="clear" w:pos="1474"/>
                <w:tab w:val="clear" w:pos="2041"/>
                <w:tab w:val="clear" w:pos="5954"/>
                <w:tab w:val="clear" w:pos="7655"/>
                <w:tab w:val="left" w:pos="567"/>
                <w:tab w:val="left" w:pos="1134"/>
                <w:tab w:val="left" w:pos="1701"/>
                <w:tab w:val="left" w:pos="2268"/>
              </w:tabs>
              <w:jc w:val="right"/>
              <w:rPr>
                <w:rFonts w:cs="Arial"/>
                <w:b/>
                <w:sz w:val="18"/>
                <w:szCs w:val="18"/>
              </w:rPr>
            </w:pPr>
            <w:r w:rsidRPr="00C017A8">
              <w:rPr>
                <w:rFonts w:cs="Arial"/>
                <w:b/>
                <w:sz w:val="18"/>
                <w:szCs w:val="18"/>
              </w:rPr>
              <w:t>(327)</w:t>
            </w:r>
          </w:p>
        </w:tc>
        <w:tc>
          <w:tcPr>
            <w:tcW w:w="125" w:type="pct"/>
            <w:shd w:val="clear" w:color="auto" w:fill="auto"/>
          </w:tcPr>
          <w:p w:rsidR="008D06BD" w:rsidRPr="00C017A8" w:rsidRDefault="008D06BD" w:rsidP="00704CC0">
            <w:pPr>
              <w:tabs>
                <w:tab w:val="left" w:pos="567"/>
                <w:tab w:val="left" w:pos="1134"/>
                <w:tab w:val="left" w:pos="1701"/>
                <w:tab w:val="left" w:pos="2268"/>
              </w:tabs>
              <w:ind w:right="-108"/>
              <w:jc w:val="right"/>
              <w:rPr>
                <w:rFonts w:cs="Arial"/>
                <w:sz w:val="18"/>
                <w:szCs w:val="18"/>
              </w:rPr>
            </w:pPr>
          </w:p>
        </w:tc>
        <w:tc>
          <w:tcPr>
            <w:tcW w:w="1000" w:type="pct"/>
            <w:tcBorders>
              <w:bottom w:val="single" w:sz="4" w:space="0" w:color="auto"/>
            </w:tcBorders>
            <w:shd w:val="clear" w:color="auto" w:fill="auto"/>
          </w:tcPr>
          <w:p w:rsidR="008D06BD" w:rsidRPr="00C017A8" w:rsidRDefault="008D06BD" w:rsidP="00704CC0">
            <w:pPr>
              <w:pStyle w:val="newline"/>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r w:rsidRPr="00C017A8">
              <w:rPr>
                <w:rFonts w:cs="Arial"/>
                <w:sz w:val="18"/>
                <w:szCs w:val="18"/>
              </w:rPr>
              <w:t>(173)</w:t>
            </w:r>
          </w:p>
        </w:tc>
      </w:tr>
      <w:tr w:rsidR="008D06BD" w:rsidRPr="00C017A8" w:rsidTr="00562F9C">
        <w:trPr>
          <w:trHeight w:val="212"/>
        </w:trPr>
        <w:tc>
          <w:tcPr>
            <w:tcW w:w="2871" w:type="pct"/>
            <w:shd w:val="clear" w:color="auto" w:fill="auto"/>
          </w:tcPr>
          <w:p w:rsidR="008D06BD" w:rsidRPr="00C017A8" w:rsidRDefault="008D06BD" w:rsidP="00704CC0">
            <w:pPr>
              <w:tabs>
                <w:tab w:val="left" w:pos="567"/>
                <w:tab w:val="left" w:pos="1134"/>
                <w:tab w:val="left" w:pos="1701"/>
                <w:tab w:val="left" w:pos="2268"/>
              </w:tabs>
              <w:rPr>
                <w:rFonts w:cs="Arial"/>
                <w:sz w:val="18"/>
                <w:szCs w:val="18"/>
                <w:lang w:val="en-GB"/>
              </w:rPr>
            </w:pPr>
          </w:p>
        </w:tc>
        <w:tc>
          <w:tcPr>
            <w:tcW w:w="1000" w:type="pct"/>
            <w:tcBorders>
              <w:top w:val="single" w:sz="4" w:space="0" w:color="auto"/>
              <w:bottom w:val="single" w:sz="4" w:space="0" w:color="auto"/>
            </w:tcBorders>
            <w:shd w:val="clear" w:color="auto" w:fill="auto"/>
          </w:tcPr>
          <w:p w:rsidR="008D06BD" w:rsidRPr="00C017A8" w:rsidRDefault="00ED703D" w:rsidP="00704CC0">
            <w:pPr>
              <w:pStyle w:val="newline"/>
              <w:tabs>
                <w:tab w:val="clear" w:pos="737"/>
                <w:tab w:val="clear" w:pos="1474"/>
                <w:tab w:val="clear" w:pos="2041"/>
                <w:tab w:val="clear" w:pos="5954"/>
                <w:tab w:val="clear" w:pos="7655"/>
                <w:tab w:val="left" w:pos="567"/>
                <w:tab w:val="left" w:pos="1134"/>
                <w:tab w:val="left" w:pos="1701"/>
                <w:tab w:val="left" w:pos="2268"/>
              </w:tabs>
              <w:jc w:val="right"/>
              <w:rPr>
                <w:rFonts w:cs="Arial"/>
                <w:b/>
                <w:sz w:val="18"/>
                <w:szCs w:val="18"/>
              </w:rPr>
            </w:pPr>
            <w:r w:rsidRPr="00C017A8">
              <w:rPr>
                <w:rFonts w:cs="Arial"/>
                <w:b/>
                <w:sz w:val="18"/>
                <w:szCs w:val="18"/>
              </w:rPr>
              <w:t>(3,009)</w:t>
            </w:r>
          </w:p>
        </w:tc>
        <w:tc>
          <w:tcPr>
            <w:tcW w:w="125" w:type="pct"/>
            <w:shd w:val="clear" w:color="auto" w:fill="auto"/>
          </w:tcPr>
          <w:p w:rsidR="008D06BD" w:rsidRPr="00C017A8" w:rsidRDefault="008D06BD" w:rsidP="00704CC0">
            <w:pPr>
              <w:keepNext/>
              <w:tabs>
                <w:tab w:val="left" w:pos="567"/>
                <w:tab w:val="left" w:pos="1134"/>
                <w:tab w:val="left" w:pos="1701"/>
                <w:tab w:val="left" w:pos="2268"/>
              </w:tabs>
              <w:ind w:right="-108"/>
              <w:jc w:val="right"/>
              <w:outlineLvl w:val="1"/>
              <w:rPr>
                <w:rFonts w:cs="Arial"/>
                <w:sz w:val="18"/>
                <w:szCs w:val="18"/>
              </w:rPr>
            </w:pPr>
          </w:p>
        </w:tc>
        <w:tc>
          <w:tcPr>
            <w:tcW w:w="1000" w:type="pct"/>
            <w:tcBorders>
              <w:top w:val="single" w:sz="4" w:space="0" w:color="auto"/>
              <w:bottom w:val="single" w:sz="4" w:space="0" w:color="auto"/>
            </w:tcBorders>
            <w:shd w:val="clear" w:color="auto" w:fill="auto"/>
          </w:tcPr>
          <w:p w:rsidR="008D06BD" w:rsidRPr="00C017A8" w:rsidRDefault="008D06BD" w:rsidP="00704CC0">
            <w:pPr>
              <w:pStyle w:val="newline"/>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r w:rsidRPr="00C017A8">
              <w:rPr>
                <w:rFonts w:cs="Arial"/>
                <w:sz w:val="18"/>
                <w:szCs w:val="18"/>
              </w:rPr>
              <w:t>(3,211)</w:t>
            </w:r>
          </w:p>
        </w:tc>
      </w:tr>
    </w:tbl>
    <w:p w:rsidR="00863596" w:rsidRPr="00C017A8" w:rsidRDefault="0092140F" w:rsidP="00704CC0">
      <w:pPr>
        <w:keepNext/>
        <w:keepLines/>
        <w:numPr>
          <w:ilvl w:val="0"/>
          <w:numId w:val="4"/>
        </w:numPr>
        <w:tabs>
          <w:tab w:val="clear" w:pos="810"/>
          <w:tab w:val="left" w:pos="567"/>
          <w:tab w:val="left" w:pos="1134"/>
          <w:tab w:val="left" w:pos="1701"/>
          <w:tab w:val="left" w:pos="2268"/>
        </w:tabs>
        <w:spacing w:before="240"/>
        <w:ind w:left="567" w:hanging="567"/>
        <w:rPr>
          <w:rFonts w:cs="Arial"/>
          <w:b/>
        </w:rPr>
      </w:pPr>
      <w:r w:rsidRPr="00C017A8">
        <w:rPr>
          <w:rFonts w:cs="Arial"/>
          <w:b/>
        </w:rPr>
        <w:t>Management fees</w:t>
      </w:r>
    </w:p>
    <w:p w:rsidR="0092140F" w:rsidRPr="00A76890" w:rsidRDefault="0092140F" w:rsidP="00704CC0">
      <w:pPr>
        <w:pStyle w:val="Normal2-Para"/>
        <w:spacing w:line="240" w:lineRule="auto"/>
        <w:ind w:left="567"/>
      </w:pPr>
      <w:r w:rsidRPr="00A76890">
        <w:t xml:space="preserve">Under the </w:t>
      </w:r>
      <w:r w:rsidR="005D1B85" w:rsidRPr="00A76890">
        <w:t>“Management</w:t>
      </w:r>
      <w:r w:rsidRPr="00A76890">
        <w:t xml:space="preserve"> Agreement”, the amount of management fee payable from Tusk Investments 1 Limited</w:t>
      </w:r>
      <w:r w:rsidR="00F072B5" w:rsidRPr="00A76890">
        <w:t xml:space="preserve"> </w:t>
      </w:r>
      <w:r w:rsidRPr="00A76890">
        <w:t>and Tusk Investments 2 Limited for the year ended 31 August 201</w:t>
      </w:r>
      <w:r w:rsidR="008D06BD" w:rsidRPr="00A76890">
        <w:t>3</w:t>
      </w:r>
      <w:r w:rsidRPr="00A76890">
        <w:t xml:space="preserve"> and 31 August 201</w:t>
      </w:r>
      <w:r w:rsidR="008D06BD" w:rsidRPr="00A76890">
        <w:t>2</w:t>
      </w:r>
      <w:r w:rsidRPr="00A76890">
        <w:t xml:space="preserve"> is at 2% of </w:t>
      </w:r>
      <w:r w:rsidR="006533DA" w:rsidRPr="00A76890">
        <w:t>Net Asset Value</w:t>
      </w:r>
      <w:r w:rsidR="00E34F8D" w:rsidRPr="00A76890">
        <w:t xml:space="preserve"> </w:t>
      </w:r>
      <w:r w:rsidR="006533DA" w:rsidRPr="00A76890">
        <w:t>(“</w:t>
      </w:r>
      <w:r w:rsidRPr="00A76890">
        <w:t>NAV</w:t>
      </w:r>
      <w:r w:rsidR="006533DA" w:rsidRPr="00A76890">
        <w:t>”)</w:t>
      </w:r>
      <w:r w:rsidR="009A022B" w:rsidRPr="00A76890">
        <w:t xml:space="preserve"> </w:t>
      </w:r>
      <w:r w:rsidRPr="00A76890">
        <w:t>of Elephant Capital plc as at the most recent valuation date.</w:t>
      </w:r>
      <w:r w:rsidR="008F56F7" w:rsidRPr="00A76890">
        <w:t xml:space="preserve"> The fees to Elephant Capital LLP and Elephant India Limited are paid out of the management fee (see note 21).</w:t>
      </w:r>
    </w:p>
    <w:p w:rsidR="0092140F" w:rsidRPr="00A76890" w:rsidRDefault="00C017A8" w:rsidP="00704CC0">
      <w:pPr>
        <w:pStyle w:val="Normal2-Para"/>
        <w:spacing w:line="240" w:lineRule="auto"/>
        <w:ind w:left="567"/>
      </w:pPr>
      <w:r>
        <w:t>"</w:t>
      </w:r>
      <w:r w:rsidR="0092140F" w:rsidRPr="00A76890">
        <w:t>Management fee</w:t>
      </w:r>
      <w:r w:rsidR="006533DA" w:rsidRPr="00A76890">
        <w:t>”</w:t>
      </w:r>
      <w:r w:rsidR="0092140F" w:rsidRPr="00A76890">
        <w:t xml:space="preserve"> disclosed in </w:t>
      </w:r>
      <w:r w:rsidR="000F417F" w:rsidRPr="00A76890">
        <w:t xml:space="preserve">the </w:t>
      </w:r>
      <w:r w:rsidR="0092140F" w:rsidRPr="00A76890">
        <w:t>consolidated statement of comprehensive income also include</w:t>
      </w:r>
      <w:r w:rsidR="000F417F" w:rsidRPr="00A76890">
        <w:t>s</w:t>
      </w:r>
      <w:r w:rsidR="00F072B5" w:rsidRPr="00A76890">
        <w:t xml:space="preserve"> </w:t>
      </w:r>
      <w:r w:rsidR="0092140F" w:rsidRPr="00A76890">
        <w:rPr>
          <w:i/>
        </w:rPr>
        <w:t>inter alia</w:t>
      </w:r>
      <w:r w:rsidR="0092140F" w:rsidRPr="00A76890">
        <w:t>, expenses incurred out of service fees received from investee compan</w:t>
      </w:r>
      <w:r w:rsidR="004C56D9" w:rsidRPr="00A76890">
        <w:t>y</w:t>
      </w:r>
      <w:r w:rsidR="0092140F" w:rsidRPr="00A76890">
        <w:t xml:space="preserve"> by Elephant 2 Limited (Manager).</w:t>
      </w:r>
    </w:p>
    <w:p w:rsidR="00863596" w:rsidRPr="00C017A8" w:rsidRDefault="0092140F" w:rsidP="00704CC0">
      <w:pPr>
        <w:keepNext/>
        <w:keepLines/>
        <w:numPr>
          <w:ilvl w:val="0"/>
          <w:numId w:val="4"/>
        </w:numPr>
        <w:tabs>
          <w:tab w:val="clear" w:pos="810"/>
          <w:tab w:val="left" w:pos="567"/>
          <w:tab w:val="left" w:pos="1134"/>
          <w:tab w:val="left" w:pos="1701"/>
          <w:tab w:val="left" w:pos="2268"/>
        </w:tabs>
        <w:spacing w:before="240" w:after="120"/>
        <w:ind w:left="567" w:hanging="567"/>
        <w:rPr>
          <w:rFonts w:cs="Arial"/>
          <w:b/>
        </w:rPr>
      </w:pPr>
      <w:r w:rsidRPr="00C017A8">
        <w:rPr>
          <w:rFonts w:cs="Arial"/>
          <w:b/>
        </w:rPr>
        <w:t>Other expenses</w:t>
      </w:r>
    </w:p>
    <w:tbl>
      <w:tblPr>
        <w:tblW w:w="8953" w:type="dxa"/>
        <w:tblCellMar>
          <w:top w:w="28" w:type="dxa"/>
          <w:left w:w="57" w:type="dxa"/>
          <w:bottom w:w="28" w:type="dxa"/>
          <w:right w:w="57" w:type="dxa"/>
        </w:tblCellMar>
        <w:tblLook w:val="01E0"/>
      </w:tblPr>
      <w:tblGrid>
        <w:gridCol w:w="4476"/>
        <w:gridCol w:w="673"/>
        <w:gridCol w:w="1791"/>
        <w:gridCol w:w="224"/>
        <w:gridCol w:w="1789"/>
      </w:tblGrid>
      <w:tr w:rsidR="00C017A8" w:rsidRPr="00A76890" w:rsidTr="00562F9C">
        <w:trPr>
          <w:cantSplit/>
          <w:trHeight w:val="20"/>
        </w:trPr>
        <w:tc>
          <w:tcPr>
            <w:tcW w:w="2500" w:type="pct"/>
          </w:tcPr>
          <w:p w:rsidR="00C017A8" w:rsidRPr="00C017A8" w:rsidRDefault="00C017A8" w:rsidP="00704CC0">
            <w:pPr>
              <w:pStyle w:val="Heading1"/>
              <w:keepLines/>
              <w:tabs>
                <w:tab w:val="left" w:pos="567"/>
                <w:tab w:val="left" w:pos="1134"/>
                <w:tab w:val="left" w:pos="1701"/>
                <w:tab w:val="left" w:pos="2268"/>
              </w:tabs>
              <w:spacing w:before="0" w:after="0" w:line="240" w:lineRule="auto"/>
              <w:rPr>
                <w:sz w:val="18"/>
                <w:szCs w:val="18"/>
              </w:rPr>
            </w:pPr>
          </w:p>
        </w:tc>
        <w:tc>
          <w:tcPr>
            <w:tcW w:w="375" w:type="pct"/>
          </w:tcPr>
          <w:p w:rsidR="00C017A8" w:rsidRPr="00C017A8" w:rsidRDefault="00C017A8" w:rsidP="00704CC0">
            <w:pPr>
              <w:pStyle w:val="Heading1"/>
              <w:keepLines/>
              <w:tabs>
                <w:tab w:val="left" w:pos="567"/>
                <w:tab w:val="left" w:pos="1134"/>
                <w:tab w:val="left" w:pos="1701"/>
                <w:tab w:val="left" w:pos="2268"/>
              </w:tabs>
              <w:spacing w:before="0" w:after="0" w:line="240" w:lineRule="auto"/>
              <w:rPr>
                <w:sz w:val="18"/>
                <w:szCs w:val="18"/>
              </w:rPr>
            </w:pPr>
          </w:p>
        </w:tc>
        <w:tc>
          <w:tcPr>
            <w:tcW w:w="1000" w:type="pct"/>
            <w:vAlign w:val="bottom"/>
          </w:tcPr>
          <w:p w:rsidR="00C017A8" w:rsidRPr="00C017A8" w:rsidRDefault="00C017A8"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b/>
                <w:sz w:val="18"/>
                <w:szCs w:val="18"/>
              </w:rPr>
            </w:pPr>
            <w:r w:rsidRPr="00C017A8">
              <w:rPr>
                <w:rFonts w:cs="Arial"/>
                <w:b/>
                <w:sz w:val="18"/>
                <w:szCs w:val="18"/>
              </w:rPr>
              <w:t>2013</w:t>
            </w:r>
          </w:p>
          <w:p w:rsidR="00C017A8" w:rsidRPr="00C017A8" w:rsidRDefault="00C017A8" w:rsidP="00704CC0">
            <w:pPr>
              <w:pStyle w:val="newline"/>
              <w:keepNext/>
              <w:keepLines/>
              <w:tabs>
                <w:tab w:val="left" w:pos="567"/>
                <w:tab w:val="left" w:pos="1134"/>
                <w:tab w:val="left" w:pos="1701"/>
                <w:tab w:val="left" w:pos="2268"/>
              </w:tabs>
              <w:jc w:val="right"/>
              <w:rPr>
                <w:rFonts w:cs="Arial"/>
                <w:b/>
                <w:sz w:val="18"/>
                <w:szCs w:val="18"/>
              </w:rPr>
            </w:pPr>
            <w:r w:rsidRPr="00C017A8">
              <w:rPr>
                <w:rFonts w:cs="Arial"/>
                <w:b/>
                <w:bCs/>
                <w:sz w:val="18"/>
                <w:szCs w:val="18"/>
              </w:rPr>
              <w:t>£'000</w:t>
            </w:r>
          </w:p>
        </w:tc>
        <w:tc>
          <w:tcPr>
            <w:tcW w:w="125" w:type="pct"/>
            <w:vAlign w:val="bottom"/>
          </w:tcPr>
          <w:p w:rsidR="00C017A8" w:rsidRPr="00C017A8" w:rsidRDefault="00C017A8" w:rsidP="00704CC0">
            <w:pPr>
              <w:keepNext/>
              <w:keepLines/>
              <w:tabs>
                <w:tab w:val="left" w:pos="567"/>
                <w:tab w:val="left" w:pos="1134"/>
                <w:tab w:val="left" w:pos="1701"/>
                <w:tab w:val="left" w:pos="2268"/>
              </w:tabs>
              <w:ind w:right="-108"/>
              <w:jc w:val="right"/>
              <w:rPr>
                <w:rFonts w:cs="Arial"/>
                <w:sz w:val="18"/>
                <w:szCs w:val="18"/>
              </w:rPr>
            </w:pPr>
          </w:p>
        </w:tc>
        <w:tc>
          <w:tcPr>
            <w:tcW w:w="1000" w:type="pct"/>
            <w:vAlign w:val="bottom"/>
          </w:tcPr>
          <w:p w:rsidR="00C017A8" w:rsidRPr="00C017A8" w:rsidRDefault="00C017A8"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r w:rsidRPr="00C017A8">
              <w:rPr>
                <w:rFonts w:cs="Arial"/>
                <w:sz w:val="18"/>
                <w:szCs w:val="18"/>
              </w:rPr>
              <w:t>2012</w:t>
            </w:r>
          </w:p>
          <w:p w:rsidR="00C017A8" w:rsidRPr="00C017A8" w:rsidRDefault="00C017A8" w:rsidP="00704CC0">
            <w:pPr>
              <w:pStyle w:val="newline"/>
              <w:keepNext/>
              <w:keepLines/>
              <w:tabs>
                <w:tab w:val="left" w:pos="567"/>
                <w:tab w:val="left" w:pos="1134"/>
                <w:tab w:val="left" w:pos="1701"/>
                <w:tab w:val="left" w:pos="2268"/>
              </w:tabs>
              <w:jc w:val="right"/>
              <w:rPr>
                <w:rFonts w:cs="Arial"/>
                <w:sz w:val="18"/>
                <w:szCs w:val="18"/>
              </w:rPr>
            </w:pPr>
            <w:r w:rsidRPr="00C017A8">
              <w:rPr>
                <w:rFonts w:cs="Arial"/>
                <w:bCs/>
                <w:sz w:val="18"/>
                <w:szCs w:val="18"/>
              </w:rPr>
              <w:t>£'000</w:t>
            </w:r>
          </w:p>
        </w:tc>
      </w:tr>
      <w:tr w:rsidR="0092140F" w:rsidRPr="00A76890" w:rsidTr="00562F9C">
        <w:trPr>
          <w:cantSplit/>
          <w:trHeight w:val="20"/>
        </w:trPr>
        <w:tc>
          <w:tcPr>
            <w:tcW w:w="2500" w:type="pct"/>
          </w:tcPr>
          <w:p w:rsidR="0092140F" w:rsidRPr="00C017A8" w:rsidRDefault="0092140F" w:rsidP="00704CC0">
            <w:pPr>
              <w:keepNext/>
              <w:keepLines/>
              <w:tabs>
                <w:tab w:val="left" w:pos="567"/>
                <w:tab w:val="left" w:pos="1134"/>
                <w:tab w:val="left" w:pos="1701"/>
                <w:tab w:val="left" w:pos="2268"/>
              </w:tabs>
              <w:ind w:left="567"/>
              <w:rPr>
                <w:rFonts w:cs="Arial"/>
                <w:sz w:val="18"/>
                <w:szCs w:val="18"/>
              </w:rPr>
            </w:pPr>
            <w:r w:rsidRPr="00C017A8">
              <w:rPr>
                <w:rFonts w:cs="Arial"/>
                <w:sz w:val="18"/>
                <w:szCs w:val="18"/>
              </w:rPr>
              <w:t>Administration charges</w:t>
            </w:r>
          </w:p>
        </w:tc>
        <w:tc>
          <w:tcPr>
            <w:tcW w:w="375" w:type="pct"/>
          </w:tcPr>
          <w:p w:rsidR="0092140F" w:rsidRPr="00C017A8" w:rsidRDefault="0092140F" w:rsidP="00704CC0">
            <w:pPr>
              <w:pStyle w:val="Heading1"/>
              <w:keepLines/>
              <w:tabs>
                <w:tab w:val="left" w:pos="567"/>
                <w:tab w:val="left" w:pos="1134"/>
                <w:tab w:val="left" w:pos="1701"/>
                <w:tab w:val="left" w:pos="2268"/>
              </w:tabs>
              <w:spacing w:before="0" w:after="0" w:line="240" w:lineRule="auto"/>
              <w:rPr>
                <w:sz w:val="18"/>
                <w:szCs w:val="18"/>
              </w:rPr>
            </w:pPr>
          </w:p>
        </w:tc>
        <w:tc>
          <w:tcPr>
            <w:tcW w:w="1000" w:type="pct"/>
          </w:tcPr>
          <w:p w:rsidR="0092140F" w:rsidRPr="00C017A8" w:rsidRDefault="0092140F"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b/>
                <w:sz w:val="18"/>
                <w:szCs w:val="18"/>
              </w:rPr>
            </w:pPr>
          </w:p>
        </w:tc>
        <w:tc>
          <w:tcPr>
            <w:tcW w:w="125" w:type="pct"/>
          </w:tcPr>
          <w:p w:rsidR="0092140F" w:rsidRPr="00C017A8" w:rsidRDefault="0092140F"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p>
        </w:tc>
        <w:tc>
          <w:tcPr>
            <w:tcW w:w="1000" w:type="pct"/>
          </w:tcPr>
          <w:p w:rsidR="0092140F" w:rsidRPr="00C017A8" w:rsidRDefault="0092140F"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p>
        </w:tc>
      </w:tr>
      <w:tr w:rsidR="008D06BD" w:rsidRPr="00A76890" w:rsidTr="00562F9C">
        <w:trPr>
          <w:cantSplit/>
          <w:trHeight w:val="20"/>
        </w:trPr>
        <w:tc>
          <w:tcPr>
            <w:tcW w:w="2876" w:type="pct"/>
            <w:gridSpan w:val="2"/>
          </w:tcPr>
          <w:p w:rsidR="008D06BD" w:rsidRPr="00C017A8" w:rsidRDefault="008D06BD" w:rsidP="00704CC0">
            <w:pPr>
              <w:keepNext/>
              <w:keepLines/>
              <w:tabs>
                <w:tab w:val="left" w:pos="567"/>
                <w:tab w:val="left" w:pos="1134"/>
                <w:tab w:val="left" w:pos="1701"/>
                <w:tab w:val="left" w:pos="2268"/>
              </w:tabs>
              <w:ind w:left="851"/>
              <w:rPr>
                <w:rFonts w:cs="Arial"/>
                <w:sz w:val="18"/>
                <w:szCs w:val="18"/>
              </w:rPr>
            </w:pPr>
            <w:r w:rsidRPr="00C017A8">
              <w:rPr>
                <w:rFonts w:cs="Arial"/>
                <w:sz w:val="18"/>
                <w:szCs w:val="18"/>
              </w:rPr>
              <w:t>Other administration charges</w:t>
            </w:r>
          </w:p>
        </w:tc>
        <w:tc>
          <w:tcPr>
            <w:tcW w:w="1000" w:type="pct"/>
          </w:tcPr>
          <w:p w:rsidR="008D06BD" w:rsidRPr="00C017A8" w:rsidRDefault="006C5AD4"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b/>
                <w:sz w:val="18"/>
                <w:szCs w:val="18"/>
              </w:rPr>
            </w:pPr>
            <w:r w:rsidRPr="00C017A8">
              <w:rPr>
                <w:rFonts w:cs="Arial"/>
                <w:b/>
                <w:sz w:val="18"/>
                <w:szCs w:val="18"/>
              </w:rPr>
              <w:t>445</w:t>
            </w:r>
          </w:p>
        </w:tc>
        <w:tc>
          <w:tcPr>
            <w:tcW w:w="125" w:type="pct"/>
          </w:tcPr>
          <w:p w:rsidR="008D06BD" w:rsidRPr="00C017A8" w:rsidRDefault="008D06BD"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p>
        </w:tc>
        <w:tc>
          <w:tcPr>
            <w:tcW w:w="1000" w:type="pct"/>
          </w:tcPr>
          <w:p w:rsidR="008D06BD" w:rsidRPr="00C017A8" w:rsidRDefault="008D06BD"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r w:rsidRPr="00C017A8">
              <w:rPr>
                <w:rFonts w:cs="Arial"/>
                <w:sz w:val="18"/>
                <w:szCs w:val="18"/>
              </w:rPr>
              <w:t>624</w:t>
            </w:r>
          </w:p>
        </w:tc>
      </w:tr>
      <w:tr w:rsidR="008D06BD" w:rsidRPr="00A76890" w:rsidTr="00562F9C">
        <w:trPr>
          <w:cantSplit/>
          <w:trHeight w:val="20"/>
        </w:trPr>
        <w:tc>
          <w:tcPr>
            <w:tcW w:w="2500" w:type="pct"/>
          </w:tcPr>
          <w:p w:rsidR="008D06BD" w:rsidRPr="00C017A8" w:rsidRDefault="008D06BD" w:rsidP="00704CC0">
            <w:pPr>
              <w:keepNext/>
              <w:keepLines/>
              <w:tabs>
                <w:tab w:val="left" w:pos="567"/>
                <w:tab w:val="left" w:pos="1134"/>
                <w:tab w:val="left" w:pos="1701"/>
                <w:tab w:val="left" w:pos="2268"/>
              </w:tabs>
              <w:ind w:left="851"/>
              <w:rPr>
                <w:rFonts w:cs="Arial"/>
                <w:sz w:val="18"/>
                <w:szCs w:val="18"/>
              </w:rPr>
            </w:pPr>
            <w:r w:rsidRPr="00C017A8">
              <w:rPr>
                <w:rFonts w:cs="Arial"/>
                <w:sz w:val="18"/>
                <w:szCs w:val="18"/>
              </w:rPr>
              <w:t>Directors’ fees*</w:t>
            </w:r>
          </w:p>
        </w:tc>
        <w:tc>
          <w:tcPr>
            <w:tcW w:w="375" w:type="pct"/>
          </w:tcPr>
          <w:p w:rsidR="008D06BD" w:rsidRPr="00C017A8" w:rsidRDefault="008D06BD" w:rsidP="00704CC0">
            <w:pPr>
              <w:pStyle w:val="Heading1"/>
              <w:keepLines/>
              <w:tabs>
                <w:tab w:val="left" w:pos="567"/>
                <w:tab w:val="left" w:pos="1134"/>
                <w:tab w:val="left" w:pos="1701"/>
                <w:tab w:val="left" w:pos="2268"/>
              </w:tabs>
              <w:spacing w:before="0" w:after="0" w:line="240" w:lineRule="auto"/>
              <w:rPr>
                <w:sz w:val="18"/>
                <w:szCs w:val="18"/>
              </w:rPr>
            </w:pPr>
          </w:p>
        </w:tc>
        <w:tc>
          <w:tcPr>
            <w:tcW w:w="1000" w:type="pct"/>
          </w:tcPr>
          <w:p w:rsidR="008D06BD" w:rsidRPr="00C017A8" w:rsidRDefault="006C5AD4"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b/>
                <w:sz w:val="18"/>
                <w:szCs w:val="18"/>
              </w:rPr>
            </w:pPr>
            <w:r w:rsidRPr="00C017A8">
              <w:rPr>
                <w:rFonts w:cs="Arial"/>
                <w:b/>
                <w:sz w:val="18"/>
                <w:szCs w:val="18"/>
              </w:rPr>
              <w:t>11</w:t>
            </w:r>
            <w:r w:rsidR="00E27A7D" w:rsidRPr="00C017A8">
              <w:rPr>
                <w:rFonts w:cs="Arial"/>
                <w:b/>
                <w:sz w:val="18"/>
                <w:szCs w:val="18"/>
              </w:rPr>
              <w:t>4</w:t>
            </w:r>
          </w:p>
        </w:tc>
        <w:tc>
          <w:tcPr>
            <w:tcW w:w="125" w:type="pct"/>
          </w:tcPr>
          <w:p w:rsidR="008D06BD" w:rsidRPr="00C017A8" w:rsidRDefault="008D06BD"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p>
        </w:tc>
        <w:tc>
          <w:tcPr>
            <w:tcW w:w="1000" w:type="pct"/>
          </w:tcPr>
          <w:p w:rsidR="008D06BD" w:rsidRPr="00C017A8" w:rsidRDefault="008D06BD"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r w:rsidRPr="00C017A8">
              <w:rPr>
                <w:rFonts w:cs="Arial"/>
                <w:sz w:val="18"/>
                <w:szCs w:val="18"/>
              </w:rPr>
              <w:t>136</w:t>
            </w:r>
          </w:p>
        </w:tc>
      </w:tr>
      <w:tr w:rsidR="008D06BD" w:rsidRPr="00A76890" w:rsidTr="00562F9C">
        <w:trPr>
          <w:cantSplit/>
          <w:trHeight w:val="20"/>
        </w:trPr>
        <w:tc>
          <w:tcPr>
            <w:tcW w:w="2500" w:type="pct"/>
          </w:tcPr>
          <w:p w:rsidR="008D06BD" w:rsidRPr="00C017A8" w:rsidRDefault="008D06BD" w:rsidP="00704CC0">
            <w:pPr>
              <w:keepNext/>
              <w:keepLines/>
              <w:tabs>
                <w:tab w:val="left" w:pos="567"/>
                <w:tab w:val="left" w:pos="1134"/>
                <w:tab w:val="left" w:pos="1701"/>
                <w:tab w:val="left" w:pos="2268"/>
              </w:tabs>
              <w:ind w:left="851"/>
              <w:rPr>
                <w:rFonts w:cs="Arial"/>
                <w:sz w:val="18"/>
                <w:szCs w:val="18"/>
              </w:rPr>
            </w:pPr>
            <w:r w:rsidRPr="00C017A8">
              <w:rPr>
                <w:rFonts w:cs="Arial"/>
                <w:sz w:val="18"/>
                <w:szCs w:val="18"/>
              </w:rPr>
              <w:t>Auditors’ remuneration**</w:t>
            </w:r>
          </w:p>
        </w:tc>
        <w:tc>
          <w:tcPr>
            <w:tcW w:w="375" w:type="pct"/>
          </w:tcPr>
          <w:p w:rsidR="008D06BD" w:rsidRPr="00C017A8" w:rsidRDefault="008D06BD" w:rsidP="00704CC0">
            <w:pPr>
              <w:pStyle w:val="Heading1"/>
              <w:keepLines/>
              <w:tabs>
                <w:tab w:val="left" w:pos="567"/>
                <w:tab w:val="left" w:pos="1134"/>
                <w:tab w:val="left" w:pos="1701"/>
                <w:tab w:val="left" w:pos="2268"/>
              </w:tabs>
              <w:spacing w:before="0" w:after="0" w:line="240" w:lineRule="auto"/>
              <w:rPr>
                <w:sz w:val="18"/>
                <w:szCs w:val="18"/>
              </w:rPr>
            </w:pPr>
          </w:p>
        </w:tc>
        <w:tc>
          <w:tcPr>
            <w:tcW w:w="1000" w:type="pct"/>
            <w:tcBorders>
              <w:bottom w:val="single" w:sz="4" w:space="0" w:color="auto"/>
            </w:tcBorders>
          </w:tcPr>
          <w:p w:rsidR="008D06BD" w:rsidRPr="00C017A8" w:rsidRDefault="006C5AD4"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b/>
                <w:sz w:val="18"/>
                <w:szCs w:val="18"/>
              </w:rPr>
            </w:pPr>
            <w:r w:rsidRPr="00C017A8">
              <w:rPr>
                <w:rFonts w:cs="Arial"/>
                <w:b/>
                <w:sz w:val="18"/>
                <w:szCs w:val="18"/>
              </w:rPr>
              <w:t>64</w:t>
            </w:r>
          </w:p>
        </w:tc>
        <w:tc>
          <w:tcPr>
            <w:tcW w:w="125" w:type="pct"/>
          </w:tcPr>
          <w:p w:rsidR="008D06BD" w:rsidRPr="00C017A8" w:rsidRDefault="008D06BD"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p>
        </w:tc>
        <w:tc>
          <w:tcPr>
            <w:tcW w:w="1000" w:type="pct"/>
            <w:tcBorders>
              <w:bottom w:val="single" w:sz="4" w:space="0" w:color="auto"/>
            </w:tcBorders>
          </w:tcPr>
          <w:p w:rsidR="008D06BD" w:rsidRPr="00C017A8" w:rsidRDefault="008D06BD"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r w:rsidRPr="00C017A8">
              <w:rPr>
                <w:rFonts w:cs="Arial"/>
                <w:sz w:val="18"/>
                <w:szCs w:val="18"/>
              </w:rPr>
              <w:t>64</w:t>
            </w:r>
          </w:p>
        </w:tc>
      </w:tr>
      <w:tr w:rsidR="008D06BD" w:rsidRPr="00A76890" w:rsidTr="00562F9C">
        <w:trPr>
          <w:cantSplit/>
          <w:trHeight w:val="20"/>
        </w:trPr>
        <w:tc>
          <w:tcPr>
            <w:tcW w:w="2500" w:type="pct"/>
          </w:tcPr>
          <w:p w:rsidR="008D06BD" w:rsidRPr="00C017A8" w:rsidRDefault="008D06BD" w:rsidP="00704CC0">
            <w:pPr>
              <w:pStyle w:val="Heading1"/>
              <w:tabs>
                <w:tab w:val="left" w:pos="567"/>
                <w:tab w:val="left" w:pos="1134"/>
                <w:tab w:val="left" w:pos="1701"/>
                <w:tab w:val="left" w:pos="2268"/>
              </w:tabs>
              <w:spacing w:before="0" w:after="0" w:line="240" w:lineRule="auto"/>
              <w:rPr>
                <w:sz w:val="18"/>
                <w:szCs w:val="18"/>
              </w:rPr>
            </w:pPr>
          </w:p>
        </w:tc>
        <w:tc>
          <w:tcPr>
            <w:tcW w:w="375" w:type="pct"/>
          </w:tcPr>
          <w:p w:rsidR="008D06BD" w:rsidRPr="00C017A8" w:rsidRDefault="008D06BD" w:rsidP="00704CC0">
            <w:pPr>
              <w:pStyle w:val="Heading1"/>
              <w:tabs>
                <w:tab w:val="left" w:pos="567"/>
                <w:tab w:val="left" w:pos="1134"/>
                <w:tab w:val="left" w:pos="1701"/>
                <w:tab w:val="left" w:pos="2268"/>
              </w:tabs>
              <w:spacing w:before="0" w:after="0" w:line="240" w:lineRule="auto"/>
              <w:rPr>
                <w:sz w:val="18"/>
                <w:szCs w:val="18"/>
              </w:rPr>
            </w:pPr>
          </w:p>
        </w:tc>
        <w:tc>
          <w:tcPr>
            <w:tcW w:w="1000" w:type="pct"/>
            <w:tcBorders>
              <w:top w:val="single" w:sz="4" w:space="0" w:color="auto"/>
              <w:bottom w:val="single" w:sz="4" w:space="0" w:color="auto"/>
            </w:tcBorders>
          </w:tcPr>
          <w:p w:rsidR="008D06BD" w:rsidRPr="00C017A8" w:rsidRDefault="006C5AD4" w:rsidP="00704CC0">
            <w:pPr>
              <w:pStyle w:val="newline"/>
              <w:tabs>
                <w:tab w:val="clear" w:pos="737"/>
                <w:tab w:val="clear" w:pos="1474"/>
                <w:tab w:val="clear" w:pos="2041"/>
                <w:tab w:val="clear" w:pos="5954"/>
                <w:tab w:val="clear" w:pos="7655"/>
                <w:tab w:val="left" w:pos="567"/>
                <w:tab w:val="left" w:pos="1134"/>
                <w:tab w:val="left" w:pos="1701"/>
                <w:tab w:val="left" w:pos="2268"/>
              </w:tabs>
              <w:jc w:val="right"/>
              <w:rPr>
                <w:rFonts w:cs="Arial"/>
                <w:b/>
                <w:sz w:val="18"/>
                <w:szCs w:val="18"/>
              </w:rPr>
            </w:pPr>
            <w:r w:rsidRPr="00C017A8">
              <w:rPr>
                <w:rFonts w:cs="Arial"/>
                <w:b/>
                <w:sz w:val="18"/>
                <w:szCs w:val="18"/>
              </w:rPr>
              <w:t>62</w:t>
            </w:r>
            <w:r w:rsidR="00E27A7D" w:rsidRPr="00C017A8">
              <w:rPr>
                <w:rFonts w:cs="Arial"/>
                <w:b/>
                <w:sz w:val="18"/>
                <w:szCs w:val="18"/>
              </w:rPr>
              <w:t>3</w:t>
            </w:r>
          </w:p>
        </w:tc>
        <w:tc>
          <w:tcPr>
            <w:tcW w:w="125" w:type="pct"/>
          </w:tcPr>
          <w:p w:rsidR="008D06BD" w:rsidRPr="00C017A8" w:rsidRDefault="008D06BD" w:rsidP="00704CC0">
            <w:pPr>
              <w:pStyle w:val="newline"/>
              <w:tabs>
                <w:tab w:val="clear" w:pos="737"/>
                <w:tab w:val="clear" w:pos="1474"/>
                <w:tab w:val="clear" w:pos="2041"/>
                <w:tab w:val="clear" w:pos="5954"/>
                <w:tab w:val="clear" w:pos="7655"/>
                <w:tab w:val="left" w:pos="567"/>
                <w:tab w:val="left" w:pos="1134"/>
                <w:tab w:val="left" w:pos="1701"/>
                <w:tab w:val="left" w:pos="2268"/>
              </w:tabs>
              <w:jc w:val="right"/>
              <w:rPr>
                <w:rFonts w:cs="Arial"/>
                <w:b/>
                <w:sz w:val="18"/>
                <w:szCs w:val="18"/>
              </w:rPr>
            </w:pPr>
          </w:p>
        </w:tc>
        <w:tc>
          <w:tcPr>
            <w:tcW w:w="1000" w:type="pct"/>
            <w:tcBorders>
              <w:top w:val="single" w:sz="4" w:space="0" w:color="auto"/>
              <w:bottom w:val="single" w:sz="4" w:space="0" w:color="auto"/>
            </w:tcBorders>
          </w:tcPr>
          <w:p w:rsidR="008D06BD" w:rsidRPr="00C017A8" w:rsidRDefault="008D06BD" w:rsidP="00704CC0">
            <w:pPr>
              <w:pStyle w:val="newline"/>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r w:rsidRPr="00C017A8">
              <w:rPr>
                <w:rFonts w:cs="Arial"/>
                <w:sz w:val="18"/>
                <w:szCs w:val="18"/>
              </w:rPr>
              <w:t>824</w:t>
            </w:r>
          </w:p>
        </w:tc>
      </w:tr>
    </w:tbl>
    <w:p w:rsidR="00F6554E" w:rsidRPr="00A76890" w:rsidRDefault="00ED1389" w:rsidP="00704CC0">
      <w:pPr>
        <w:pStyle w:val="Normal2-Para"/>
        <w:spacing w:line="240" w:lineRule="auto"/>
        <w:ind w:left="567"/>
      </w:pPr>
      <w:r>
        <w:t xml:space="preserve">* </w:t>
      </w:r>
      <w:r w:rsidR="00F6554E" w:rsidRPr="00A76890">
        <w:t xml:space="preserve">Detail of Directors’ fees </w:t>
      </w:r>
      <w:proofErr w:type="gramStart"/>
      <w:r w:rsidR="00F6554E" w:rsidRPr="00A76890">
        <w:t>are</w:t>
      </w:r>
      <w:proofErr w:type="gramEnd"/>
      <w:r w:rsidR="00F6554E" w:rsidRPr="00A76890">
        <w:t xml:space="preserve"> as follows:</w:t>
      </w:r>
    </w:p>
    <w:tbl>
      <w:tblPr>
        <w:tblW w:w="8953" w:type="dxa"/>
        <w:tblLayout w:type="fixed"/>
        <w:tblCellMar>
          <w:top w:w="28" w:type="dxa"/>
          <w:left w:w="57" w:type="dxa"/>
          <w:bottom w:w="28" w:type="dxa"/>
          <w:right w:w="57" w:type="dxa"/>
        </w:tblCellMar>
        <w:tblLook w:val="01E0"/>
      </w:tblPr>
      <w:tblGrid>
        <w:gridCol w:w="5176"/>
        <w:gridCol w:w="1791"/>
        <w:gridCol w:w="224"/>
        <w:gridCol w:w="1762"/>
      </w:tblGrid>
      <w:tr w:rsidR="00F6554E" w:rsidRPr="00F6554E" w:rsidTr="00562F9C">
        <w:tc>
          <w:tcPr>
            <w:tcW w:w="2891" w:type="pct"/>
          </w:tcPr>
          <w:p w:rsidR="00F6554E" w:rsidRPr="00F6554E" w:rsidRDefault="00F6554E" w:rsidP="00704CC0">
            <w:pPr>
              <w:pStyle w:val="Heading1"/>
              <w:keepLines/>
              <w:tabs>
                <w:tab w:val="left" w:pos="567"/>
                <w:tab w:val="left" w:pos="1134"/>
                <w:tab w:val="left" w:pos="1701"/>
                <w:tab w:val="left" w:pos="2268"/>
              </w:tabs>
              <w:spacing w:line="240" w:lineRule="auto"/>
              <w:ind w:left="567"/>
              <w:rPr>
                <w:sz w:val="18"/>
                <w:szCs w:val="18"/>
              </w:rPr>
            </w:pPr>
          </w:p>
        </w:tc>
        <w:tc>
          <w:tcPr>
            <w:tcW w:w="1000" w:type="pct"/>
          </w:tcPr>
          <w:p w:rsidR="00F6554E" w:rsidRPr="00F6554E" w:rsidRDefault="00F6554E"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b/>
                <w:bCs/>
                <w:sz w:val="18"/>
                <w:szCs w:val="18"/>
              </w:rPr>
            </w:pPr>
            <w:r w:rsidRPr="00F6554E">
              <w:rPr>
                <w:rFonts w:cs="Arial"/>
                <w:b/>
                <w:bCs/>
                <w:sz w:val="18"/>
                <w:szCs w:val="18"/>
              </w:rPr>
              <w:t>2013</w:t>
            </w:r>
          </w:p>
          <w:p w:rsidR="00F6554E" w:rsidRPr="00F6554E" w:rsidRDefault="00F6554E"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b/>
                <w:sz w:val="18"/>
                <w:szCs w:val="18"/>
              </w:rPr>
            </w:pPr>
            <w:r w:rsidRPr="00F6554E">
              <w:rPr>
                <w:rFonts w:cs="Arial"/>
                <w:b/>
                <w:bCs/>
                <w:sz w:val="18"/>
                <w:szCs w:val="18"/>
              </w:rPr>
              <w:t>£'000</w:t>
            </w:r>
          </w:p>
        </w:tc>
        <w:tc>
          <w:tcPr>
            <w:tcW w:w="125" w:type="pct"/>
          </w:tcPr>
          <w:p w:rsidR="00F6554E" w:rsidRPr="00F6554E" w:rsidRDefault="00F6554E"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p>
        </w:tc>
        <w:tc>
          <w:tcPr>
            <w:tcW w:w="1000" w:type="pct"/>
          </w:tcPr>
          <w:p w:rsidR="00F6554E" w:rsidRPr="00F6554E" w:rsidRDefault="00F6554E"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bCs/>
                <w:sz w:val="18"/>
                <w:szCs w:val="18"/>
              </w:rPr>
            </w:pPr>
            <w:r w:rsidRPr="00F6554E">
              <w:rPr>
                <w:rFonts w:cs="Arial"/>
                <w:bCs/>
                <w:sz w:val="18"/>
                <w:szCs w:val="18"/>
              </w:rPr>
              <w:t>2012</w:t>
            </w:r>
          </w:p>
          <w:p w:rsidR="00F6554E" w:rsidRPr="00F6554E" w:rsidRDefault="00F6554E"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r w:rsidRPr="00F6554E">
              <w:rPr>
                <w:rFonts w:cs="Arial"/>
                <w:bCs/>
                <w:sz w:val="18"/>
                <w:szCs w:val="18"/>
              </w:rPr>
              <w:t>£'000</w:t>
            </w:r>
          </w:p>
        </w:tc>
      </w:tr>
      <w:tr w:rsidR="00F6554E" w:rsidRPr="00F6554E" w:rsidTr="00562F9C">
        <w:tc>
          <w:tcPr>
            <w:tcW w:w="2891" w:type="pct"/>
          </w:tcPr>
          <w:p w:rsidR="008D06BD" w:rsidRPr="00F6554E" w:rsidRDefault="008D06BD" w:rsidP="00704CC0">
            <w:pPr>
              <w:keepNext/>
              <w:keepLines/>
              <w:tabs>
                <w:tab w:val="left" w:pos="567"/>
                <w:tab w:val="left" w:pos="1134"/>
                <w:tab w:val="left" w:pos="1701"/>
                <w:tab w:val="left" w:pos="2268"/>
              </w:tabs>
              <w:ind w:left="567"/>
              <w:rPr>
                <w:rFonts w:cs="Arial"/>
                <w:sz w:val="18"/>
                <w:szCs w:val="18"/>
              </w:rPr>
            </w:pPr>
            <w:r w:rsidRPr="00F6554E">
              <w:rPr>
                <w:rFonts w:cs="Arial"/>
                <w:color w:val="000000"/>
                <w:sz w:val="18"/>
                <w:szCs w:val="18"/>
              </w:rPr>
              <w:t>Pramath Raj Sinha</w:t>
            </w:r>
          </w:p>
        </w:tc>
        <w:tc>
          <w:tcPr>
            <w:tcW w:w="1000" w:type="pct"/>
          </w:tcPr>
          <w:p w:rsidR="008D06BD" w:rsidRPr="00F6554E" w:rsidRDefault="006C5AD4"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b/>
                <w:sz w:val="18"/>
                <w:szCs w:val="18"/>
              </w:rPr>
            </w:pPr>
            <w:r w:rsidRPr="00F6554E">
              <w:rPr>
                <w:rFonts w:cs="Arial"/>
                <w:b/>
                <w:sz w:val="18"/>
                <w:szCs w:val="18"/>
              </w:rPr>
              <w:t>-</w:t>
            </w:r>
          </w:p>
        </w:tc>
        <w:tc>
          <w:tcPr>
            <w:tcW w:w="125" w:type="pct"/>
          </w:tcPr>
          <w:p w:rsidR="008D06BD" w:rsidRPr="00F6554E" w:rsidRDefault="008D06BD"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p>
        </w:tc>
        <w:tc>
          <w:tcPr>
            <w:tcW w:w="1000" w:type="pct"/>
          </w:tcPr>
          <w:p w:rsidR="008D06BD" w:rsidRPr="00F6554E" w:rsidRDefault="008D06BD"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r w:rsidRPr="00F6554E">
              <w:rPr>
                <w:rFonts w:cs="Arial"/>
                <w:sz w:val="18"/>
                <w:szCs w:val="18"/>
              </w:rPr>
              <w:t>14</w:t>
            </w:r>
          </w:p>
        </w:tc>
      </w:tr>
      <w:tr w:rsidR="00F6554E" w:rsidRPr="00F6554E" w:rsidTr="00562F9C">
        <w:tc>
          <w:tcPr>
            <w:tcW w:w="2891" w:type="pct"/>
          </w:tcPr>
          <w:p w:rsidR="008D06BD" w:rsidRPr="00F6554E" w:rsidRDefault="008D06BD" w:rsidP="00704CC0">
            <w:pPr>
              <w:keepNext/>
              <w:keepLines/>
              <w:tabs>
                <w:tab w:val="left" w:pos="567"/>
                <w:tab w:val="left" w:pos="1134"/>
                <w:tab w:val="left" w:pos="1701"/>
                <w:tab w:val="left" w:pos="2268"/>
              </w:tabs>
              <w:ind w:left="567"/>
              <w:rPr>
                <w:rFonts w:cs="Arial"/>
                <w:color w:val="000000"/>
                <w:sz w:val="18"/>
                <w:szCs w:val="18"/>
              </w:rPr>
            </w:pPr>
            <w:r w:rsidRPr="00F6554E">
              <w:rPr>
                <w:rFonts w:cs="Arial"/>
                <w:color w:val="000000"/>
                <w:sz w:val="18"/>
                <w:szCs w:val="18"/>
              </w:rPr>
              <w:t>Vikram Lall</w:t>
            </w:r>
          </w:p>
        </w:tc>
        <w:tc>
          <w:tcPr>
            <w:tcW w:w="1000" w:type="pct"/>
          </w:tcPr>
          <w:p w:rsidR="008D06BD" w:rsidRPr="00F6554E" w:rsidRDefault="006C5AD4"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b/>
                <w:sz w:val="18"/>
                <w:szCs w:val="18"/>
              </w:rPr>
            </w:pPr>
            <w:r w:rsidRPr="00F6554E">
              <w:rPr>
                <w:rFonts w:cs="Arial"/>
                <w:b/>
                <w:sz w:val="18"/>
                <w:szCs w:val="18"/>
              </w:rPr>
              <w:t>35</w:t>
            </w:r>
          </w:p>
        </w:tc>
        <w:tc>
          <w:tcPr>
            <w:tcW w:w="125" w:type="pct"/>
          </w:tcPr>
          <w:p w:rsidR="008D06BD" w:rsidRPr="00F6554E" w:rsidRDefault="008D06BD"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p>
        </w:tc>
        <w:tc>
          <w:tcPr>
            <w:tcW w:w="1000" w:type="pct"/>
          </w:tcPr>
          <w:p w:rsidR="008D06BD" w:rsidRPr="00F6554E" w:rsidRDefault="008D06BD"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r w:rsidRPr="00F6554E">
              <w:rPr>
                <w:rFonts w:cs="Arial"/>
                <w:sz w:val="18"/>
                <w:szCs w:val="18"/>
              </w:rPr>
              <w:t>33</w:t>
            </w:r>
          </w:p>
        </w:tc>
      </w:tr>
      <w:tr w:rsidR="00F6554E" w:rsidRPr="00F6554E" w:rsidTr="00562F9C">
        <w:tc>
          <w:tcPr>
            <w:tcW w:w="2891" w:type="pct"/>
          </w:tcPr>
          <w:p w:rsidR="008D06BD" w:rsidRPr="00F6554E" w:rsidRDefault="008D06BD" w:rsidP="00704CC0">
            <w:pPr>
              <w:keepNext/>
              <w:keepLines/>
              <w:tabs>
                <w:tab w:val="left" w:pos="567"/>
                <w:tab w:val="left" w:pos="1134"/>
                <w:tab w:val="left" w:pos="1701"/>
                <w:tab w:val="left" w:pos="2268"/>
              </w:tabs>
              <w:ind w:left="567"/>
              <w:rPr>
                <w:rFonts w:cs="Arial"/>
                <w:sz w:val="18"/>
                <w:szCs w:val="18"/>
              </w:rPr>
            </w:pPr>
            <w:r w:rsidRPr="00F6554E">
              <w:rPr>
                <w:rFonts w:cs="Arial"/>
                <w:color w:val="000000"/>
                <w:sz w:val="18"/>
                <w:szCs w:val="18"/>
              </w:rPr>
              <w:t>Gaurav Burman</w:t>
            </w:r>
          </w:p>
        </w:tc>
        <w:tc>
          <w:tcPr>
            <w:tcW w:w="1000" w:type="pct"/>
          </w:tcPr>
          <w:p w:rsidR="008D06BD" w:rsidRPr="00F6554E" w:rsidRDefault="006C5AD4"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b/>
                <w:sz w:val="18"/>
                <w:szCs w:val="18"/>
              </w:rPr>
            </w:pPr>
            <w:r w:rsidRPr="00F6554E">
              <w:rPr>
                <w:rFonts w:cs="Arial"/>
                <w:b/>
                <w:sz w:val="18"/>
                <w:szCs w:val="18"/>
              </w:rPr>
              <w:t>23</w:t>
            </w:r>
          </w:p>
        </w:tc>
        <w:tc>
          <w:tcPr>
            <w:tcW w:w="125" w:type="pct"/>
          </w:tcPr>
          <w:p w:rsidR="008D06BD" w:rsidRPr="00F6554E" w:rsidRDefault="008D06BD"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p>
        </w:tc>
        <w:tc>
          <w:tcPr>
            <w:tcW w:w="1000" w:type="pct"/>
          </w:tcPr>
          <w:p w:rsidR="008D06BD" w:rsidRPr="00F6554E" w:rsidRDefault="008D06BD"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r w:rsidRPr="00F6554E">
              <w:rPr>
                <w:rFonts w:cs="Arial"/>
                <w:sz w:val="18"/>
                <w:szCs w:val="18"/>
              </w:rPr>
              <w:t>23</w:t>
            </w:r>
          </w:p>
        </w:tc>
      </w:tr>
      <w:tr w:rsidR="00F6554E" w:rsidRPr="00F6554E" w:rsidTr="00562F9C">
        <w:tc>
          <w:tcPr>
            <w:tcW w:w="2891" w:type="pct"/>
          </w:tcPr>
          <w:p w:rsidR="008D06BD" w:rsidRPr="00F6554E" w:rsidRDefault="008D06BD" w:rsidP="00704CC0">
            <w:pPr>
              <w:keepNext/>
              <w:keepLines/>
              <w:tabs>
                <w:tab w:val="left" w:pos="567"/>
                <w:tab w:val="left" w:pos="1134"/>
                <w:tab w:val="left" w:pos="1701"/>
                <w:tab w:val="left" w:pos="2268"/>
              </w:tabs>
              <w:ind w:left="567"/>
              <w:rPr>
                <w:rFonts w:cs="Arial"/>
                <w:sz w:val="18"/>
                <w:szCs w:val="18"/>
              </w:rPr>
            </w:pPr>
            <w:r w:rsidRPr="00F6554E">
              <w:rPr>
                <w:rFonts w:cs="Arial"/>
                <w:color w:val="000000"/>
                <w:sz w:val="18"/>
                <w:szCs w:val="18"/>
              </w:rPr>
              <w:t>Francis Anthony Hancock</w:t>
            </w:r>
          </w:p>
        </w:tc>
        <w:tc>
          <w:tcPr>
            <w:tcW w:w="1000" w:type="pct"/>
          </w:tcPr>
          <w:p w:rsidR="008D06BD" w:rsidRPr="00F6554E" w:rsidRDefault="00813050"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b/>
                <w:sz w:val="18"/>
                <w:szCs w:val="18"/>
              </w:rPr>
            </w:pPr>
            <w:r w:rsidRPr="00F6554E">
              <w:rPr>
                <w:rFonts w:cs="Arial"/>
                <w:b/>
                <w:sz w:val="18"/>
                <w:szCs w:val="18"/>
              </w:rPr>
              <w:t>2</w:t>
            </w:r>
            <w:r w:rsidR="006C5AD4" w:rsidRPr="00F6554E">
              <w:rPr>
                <w:rFonts w:cs="Arial"/>
                <w:b/>
                <w:sz w:val="18"/>
                <w:szCs w:val="18"/>
              </w:rPr>
              <w:t>3</w:t>
            </w:r>
          </w:p>
        </w:tc>
        <w:tc>
          <w:tcPr>
            <w:tcW w:w="125" w:type="pct"/>
          </w:tcPr>
          <w:p w:rsidR="008D06BD" w:rsidRPr="00F6554E" w:rsidRDefault="008D06BD"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p>
        </w:tc>
        <w:tc>
          <w:tcPr>
            <w:tcW w:w="1000" w:type="pct"/>
          </w:tcPr>
          <w:p w:rsidR="008D06BD" w:rsidRPr="00F6554E" w:rsidRDefault="008D06BD"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r w:rsidRPr="00F6554E">
              <w:rPr>
                <w:rFonts w:cs="Arial"/>
                <w:sz w:val="18"/>
                <w:szCs w:val="18"/>
              </w:rPr>
              <w:t>23</w:t>
            </w:r>
          </w:p>
        </w:tc>
      </w:tr>
      <w:tr w:rsidR="00F6554E" w:rsidRPr="00F6554E" w:rsidTr="00562F9C">
        <w:tc>
          <w:tcPr>
            <w:tcW w:w="2891" w:type="pct"/>
          </w:tcPr>
          <w:p w:rsidR="008D06BD" w:rsidRPr="00F6554E" w:rsidRDefault="008D06BD" w:rsidP="00704CC0">
            <w:pPr>
              <w:keepNext/>
              <w:keepLines/>
              <w:tabs>
                <w:tab w:val="left" w:pos="567"/>
                <w:tab w:val="left" w:pos="1134"/>
                <w:tab w:val="left" w:pos="1701"/>
                <w:tab w:val="left" w:pos="2268"/>
              </w:tabs>
              <w:ind w:left="567"/>
              <w:rPr>
                <w:rFonts w:cs="Arial"/>
                <w:sz w:val="18"/>
                <w:szCs w:val="18"/>
              </w:rPr>
            </w:pPr>
            <w:r w:rsidRPr="00F6554E">
              <w:rPr>
                <w:rFonts w:cs="Arial"/>
                <w:color w:val="000000"/>
                <w:sz w:val="18"/>
                <w:szCs w:val="18"/>
              </w:rPr>
              <w:t>James Norman Hauslein</w:t>
            </w:r>
          </w:p>
        </w:tc>
        <w:tc>
          <w:tcPr>
            <w:tcW w:w="1000" w:type="pct"/>
          </w:tcPr>
          <w:p w:rsidR="008D06BD" w:rsidRPr="00F6554E" w:rsidRDefault="00813050"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b/>
                <w:sz w:val="18"/>
                <w:szCs w:val="18"/>
              </w:rPr>
            </w:pPr>
            <w:r w:rsidRPr="00F6554E">
              <w:rPr>
                <w:rFonts w:cs="Arial"/>
                <w:b/>
                <w:sz w:val="18"/>
                <w:szCs w:val="18"/>
              </w:rPr>
              <w:t>1</w:t>
            </w:r>
            <w:r w:rsidR="006C5AD4" w:rsidRPr="00F6554E">
              <w:rPr>
                <w:rFonts w:cs="Arial"/>
                <w:b/>
                <w:sz w:val="18"/>
                <w:szCs w:val="18"/>
              </w:rPr>
              <w:t>3</w:t>
            </w:r>
          </w:p>
        </w:tc>
        <w:tc>
          <w:tcPr>
            <w:tcW w:w="125" w:type="pct"/>
          </w:tcPr>
          <w:p w:rsidR="008D06BD" w:rsidRPr="00F6554E" w:rsidRDefault="008D06BD"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p>
        </w:tc>
        <w:tc>
          <w:tcPr>
            <w:tcW w:w="1000" w:type="pct"/>
          </w:tcPr>
          <w:p w:rsidR="008D06BD" w:rsidRPr="00F6554E" w:rsidRDefault="008D06BD"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r w:rsidRPr="00F6554E">
              <w:rPr>
                <w:rFonts w:cs="Arial"/>
                <w:sz w:val="18"/>
                <w:szCs w:val="18"/>
              </w:rPr>
              <w:t>23</w:t>
            </w:r>
          </w:p>
        </w:tc>
      </w:tr>
      <w:tr w:rsidR="00F6554E" w:rsidRPr="00F6554E" w:rsidTr="00562F9C">
        <w:tc>
          <w:tcPr>
            <w:tcW w:w="2891" w:type="pct"/>
          </w:tcPr>
          <w:p w:rsidR="008D06BD" w:rsidRPr="00F6554E" w:rsidRDefault="008D06BD" w:rsidP="00704CC0">
            <w:pPr>
              <w:keepNext/>
              <w:keepLines/>
              <w:tabs>
                <w:tab w:val="left" w:pos="567"/>
                <w:tab w:val="left" w:pos="1134"/>
                <w:tab w:val="left" w:pos="1701"/>
                <w:tab w:val="left" w:pos="2268"/>
              </w:tabs>
              <w:ind w:left="567"/>
              <w:rPr>
                <w:rFonts w:cs="Arial"/>
                <w:sz w:val="18"/>
                <w:szCs w:val="18"/>
              </w:rPr>
            </w:pPr>
            <w:r w:rsidRPr="00F6554E">
              <w:rPr>
                <w:rFonts w:cs="Arial"/>
                <w:color w:val="000000"/>
                <w:sz w:val="18"/>
                <w:szCs w:val="18"/>
              </w:rPr>
              <w:t>Elizabeth Tansell</w:t>
            </w:r>
          </w:p>
        </w:tc>
        <w:tc>
          <w:tcPr>
            <w:tcW w:w="1000" w:type="pct"/>
            <w:tcBorders>
              <w:bottom w:val="single" w:sz="4" w:space="0" w:color="auto"/>
            </w:tcBorders>
          </w:tcPr>
          <w:p w:rsidR="008D06BD" w:rsidRPr="00F6554E" w:rsidRDefault="006C5AD4"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b/>
                <w:sz w:val="18"/>
                <w:szCs w:val="18"/>
              </w:rPr>
            </w:pPr>
            <w:r w:rsidRPr="00F6554E">
              <w:rPr>
                <w:rFonts w:cs="Arial"/>
                <w:b/>
                <w:sz w:val="18"/>
                <w:szCs w:val="18"/>
              </w:rPr>
              <w:t>20</w:t>
            </w:r>
          </w:p>
        </w:tc>
        <w:tc>
          <w:tcPr>
            <w:tcW w:w="125" w:type="pct"/>
          </w:tcPr>
          <w:p w:rsidR="008D06BD" w:rsidRPr="00F6554E" w:rsidRDefault="008D06BD"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p>
        </w:tc>
        <w:tc>
          <w:tcPr>
            <w:tcW w:w="1000" w:type="pct"/>
            <w:tcBorders>
              <w:bottom w:val="single" w:sz="4" w:space="0" w:color="auto"/>
            </w:tcBorders>
          </w:tcPr>
          <w:p w:rsidR="008D06BD" w:rsidRPr="00F6554E" w:rsidRDefault="008D06BD"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r w:rsidRPr="00F6554E">
              <w:rPr>
                <w:rFonts w:cs="Arial"/>
                <w:sz w:val="18"/>
                <w:szCs w:val="18"/>
              </w:rPr>
              <w:t>20</w:t>
            </w:r>
          </w:p>
        </w:tc>
      </w:tr>
      <w:tr w:rsidR="00F6554E" w:rsidRPr="00F6554E" w:rsidTr="00562F9C">
        <w:tc>
          <w:tcPr>
            <w:tcW w:w="2891" w:type="pct"/>
          </w:tcPr>
          <w:p w:rsidR="008D06BD" w:rsidRPr="00F6554E" w:rsidRDefault="008D06BD" w:rsidP="00704CC0">
            <w:pPr>
              <w:tabs>
                <w:tab w:val="left" w:pos="567"/>
                <w:tab w:val="left" w:pos="1134"/>
                <w:tab w:val="left" w:pos="1701"/>
                <w:tab w:val="left" w:pos="2268"/>
              </w:tabs>
              <w:ind w:left="567"/>
              <w:rPr>
                <w:rFonts w:cs="Arial"/>
                <w:sz w:val="18"/>
                <w:szCs w:val="18"/>
              </w:rPr>
            </w:pPr>
          </w:p>
        </w:tc>
        <w:tc>
          <w:tcPr>
            <w:tcW w:w="1000" w:type="pct"/>
            <w:tcBorders>
              <w:top w:val="single" w:sz="4" w:space="0" w:color="auto"/>
              <w:bottom w:val="single" w:sz="4" w:space="0" w:color="auto"/>
            </w:tcBorders>
          </w:tcPr>
          <w:p w:rsidR="008D06BD" w:rsidRPr="00F6554E" w:rsidRDefault="006C5AD4" w:rsidP="00704CC0">
            <w:pPr>
              <w:pStyle w:val="newline"/>
              <w:tabs>
                <w:tab w:val="clear" w:pos="737"/>
                <w:tab w:val="clear" w:pos="1474"/>
                <w:tab w:val="clear" w:pos="2041"/>
                <w:tab w:val="clear" w:pos="5954"/>
                <w:tab w:val="clear" w:pos="7655"/>
                <w:tab w:val="left" w:pos="567"/>
                <w:tab w:val="left" w:pos="1134"/>
                <w:tab w:val="left" w:pos="1701"/>
                <w:tab w:val="left" w:pos="2268"/>
              </w:tabs>
              <w:jc w:val="right"/>
              <w:rPr>
                <w:rFonts w:cs="Arial"/>
                <w:b/>
                <w:sz w:val="18"/>
                <w:szCs w:val="18"/>
              </w:rPr>
            </w:pPr>
            <w:r w:rsidRPr="00F6554E">
              <w:rPr>
                <w:rFonts w:cs="Arial"/>
                <w:b/>
                <w:sz w:val="18"/>
                <w:szCs w:val="18"/>
              </w:rPr>
              <w:t>11</w:t>
            </w:r>
            <w:r w:rsidR="00E27A7D" w:rsidRPr="00F6554E">
              <w:rPr>
                <w:rFonts w:cs="Arial"/>
                <w:b/>
                <w:sz w:val="18"/>
                <w:szCs w:val="18"/>
              </w:rPr>
              <w:t>4</w:t>
            </w:r>
          </w:p>
        </w:tc>
        <w:tc>
          <w:tcPr>
            <w:tcW w:w="125" w:type="pct"/>
          </w:tcPr>
          <w:p w:rsidR="008D06BD" w:rsidRPr="00F6554E" w:rsidRDefault="008D06BD" w:rsidP="00704CC0">
            <w:pPr>
              <w:pStyle w:val="newline"/>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p>
        </w:tc>
        <w:tc>
          <w:tcPr>
            <w:tcW w:w="1000" w:type="pct"/>
            <w:tcBorders>
              <w:top w:val="single" w:sz="4" w:space="0" w:color="auto"/>
              <w:bottom w:val="single" w:sz="4" w:space="0" w:color="auto"/>
            </w:tcBorders>
          </w:tcPr>
          <w:p w:rsidR="008D06BD" w:rsidRPr="00F6554E" w:rsidRDefault="008D06BD" w:rsidP="00704CC0">
            <w:pPr>
              <w:pStyle w:val="newline"/>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r w:rsidRPr="00F6554E">
              <w:rPr>
                <w:rFonts w:cs="Arial"/>
                <w:sz w:val="18"/>
                <w:szCs w:val="18"/>
              </w:rPr>
              <w:t>136</w:t>
            </w:r>
          </w:p>
        </w:tc>
      </w:tr>
    </w:tbl>
    <w:p w:rsidR="00F6554E" w:rsidRPr="00A76890" w:rsidRDefault="00F6554E" w:rsidP="00704CC0">
      <w:pPr>
        <w:pStyle w:val="Normal2-Para"/>
        <w:spacing w:line="240" w:lineRule="auto"/>
        <w:ind w:left="567"/>
      </w:pPr>
      <w:r w:rsidRPr="00A76890">
        <w:t>The Company has no other employees.</w:t>
      </w:r>
    </w:p>
    <w:p w:rsidR="00F6554E" w:rsidRDefault="00F6554E" w:rsidP="00704CC0">
      <w:pPr>
        <w:pStyle w:val="Normal2-Para"/>
        <w:keepNext/>
        <w:keepLines/>
        <w:spacing w:line="240" w:lineRule="auto"/>
        <w:ind w:left="567"/>
      </w:pPr>
      <w:r w:rsidRPr="00A76890">
        <w:t>**Auditors’ remuneration comprises:</w:t>
      </w:r>
    </w:p>
    <w:tbl>
      <w:tblPr>
        <w:tblW w:w="8953" w:type="dxa"/>
        <w:tblLayout w:type="fixed"/>
        <w:tblCellMar>
          <w:top w:w="28" w:type="dxa"/>
          <w:left w:w="57" w:type="dxa"/>
          <w:bottom w:w="28" w:type="dxa"/>
          <w:right w:w="57" w:type="dxa"/>
        </w:tblCellMar>
        <w:tblLook w:val="01E0"/>
      </w:tblPr>
      <w:tblGrid>
        <w:gridCol w:w="5148"/>
        <w:gridCol w:w="1791"/>
        <w:gridCol w:w="671"/>
        <w:gridCol w:w="1343"/>
      </w:tblGrid>
      <w:tr w:rsidR="009C66B9" w:rsidRPr="00F6554E" w:rsidTr="00562F9C">
        <w:trPr>
          <w:trHeight w:val="20"/>
        </w:trPr>
        <w:tc>
          <w:tcPr>
            <w:tcW w:w="2875" w:type="pct"/>
          </w:tcPr>
          <w:p w:rsidR="009C66B9" w:rsidRPr="00F6554E" w:rsidRDefault="009C66B9" w:rsidP="00704CC0">
            <w:pPr>
              <w:keepNext/>
              <w:keepLines/>
              <w:tabs>
                <w:tab w:val="left" w:pos="567"/>
                <w:tab w:val="left" w:pos="1134"/>
                <w:tab w:val="left" w:pos="1701"/>
                <w:tab w:val="left" w:pos="2268"/>
              </w:tabs>
              <w:ind w:left="567"/>
              <w:rPr>
                <w:rFonts w:cs="Arial"/>
                <w:sz w:val="18"/>
                <w:szCs w:val="18"/>
              </w:rPr>
            </w:pPr>
            <w:r w:rsidRPr="00F6554E">
              <w:rPr>
                <w:rFonts w:cs="Arial"/>
                <w:sz w:val="18"/>
                <w:szCs w:val="18"/>
              </w:rPr>
              <w:t>Audit of Company’s annual accounts</w:t>
            </w:r>
          </w:p>
        </w:tc>
        <w:tc>
          <w:tcPr>
            <w:tcW w:w="1000" w:type="pct"/>
            <w:shd w:val="clear" w:color="auto" w:fill="auto"/>
          </w:tcPr>
          <w:p w:rsidR="009C66B9" w:rsidRPr="00F6554E" w:rsidRDefault="006C5AD4"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ind w:hanging="18"/>
              <w:jc w:val="right"/>
              <w:rPr>
                <w:rFonts w:cs="Arial"/>
                <w:b/>
                <w:sz w:val="18"/>
                <w:szCs w:val="18"/>
              </w:rPr>
            </w:pPr>
            <w:r w:rsidRPr="00F6554E">
              <w:rPr>
                <w:rFonts w:cs="Arial"/>
                <w:b/>
                <w:sz w:val="18"/>
                <w:szCs w:val="18"/>
              </w:rPr>
              <w:t>36</w:t>
            </w:r>
          </w:p>
        </w:tc>
        <w:tc>
          <w:tcPr>
            <w:tcW w:w="375" w:type="pct"/>
            <w:shd w:val="clear" w:color="auto" w:fill="auto"/>
          </w:tcPr>
          <w:p w:rsidR="009C66B9" w:rsidRPr="00F6554E" w:rsidRDefault="009C66B9" w:rsidP="00704CC0">
            <w:pPr>
              <w:keepNext/>
              <w:keepLines/>
              <w:tabs>
                <w:tab w:val="left" w:pos="567"/>
                <w:tab w:val="left" w:pos="1134"/>
                <w:tab w:val="left" w:pos="1701"/>
                <w:tab w:val="left" w:pos="2268"/>
              </w:tabs>
              <w:ind w:right="-108"/>
              <w:jc w:val="right"/>
              <w:rPr>
                <w:rFonts w:cs="Arial"/>
                <w:sz w:val="18"/>
                <w:szCs w:val="18"/>
              </w:rPr>
            </w:pPr>
          </w:p>
        </w:tc>
        <w:tc>
          <w:tcPr>
            <w:tcW w:w="750" w:type="pct"/>
          </w:tcPr>
          <w:p w:rsidR="009C66B9" w:rsidRPr="00F6554E" w:rsidRDefault="009C66B9"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ind w:hanging="18"/>
              <w:jc w:val="right"/>
              <w:rPr>
                <w:rFonts w:cs="Arial"/>
                <w:sz w:val="18"/>
                <w:szCs w:val="18"/>
              </w:rPr>
            </w:pPr>
            <w:r w:rsidRPr="00F6554E">
              <w:rPr>
                <w:rFonts w:cs="Arial"/>
                <w:sz w:val="18"/>
                <w:szCs w:val="18"/>
              </w:rPr>
              <w:t>36</w:t>
            </w:r>
          </w:p>
        </w:tc>
      </w:tr>
      <w:tr w:rsidR="009C66B9" w:rsidRPr="00F6554E" w:rsidTr="00562F9C">
        <w:trPr>
          <w:trHeight w:val="20"/>
        </w:trPr>
        <w:tc>
          <w:tcPr>
            <w:tcW w:w="2875" w:type="pct"/>
          </w:tcPr>
          <w:p w:rsidR="009C66B9" w:rsidRPr="00F6554E" w:rsidRDefault="009C66B9" w:rsidP="00704CC0">
            <w:pPr>
              <w:keepNext/>
              <w:keepLines/>
              <w:tabs>
                <w:tab w:val="left" w:pos="567"/>
                <w:tab w:val="left" w:pos="1134"/>
                <w:tab w:val="left" w:pos="1701"/>
                <w:tab w:val="left" w:pos="2268"/>
              </w:tabs>
              <w:ind w:left="567"/>
              <w:rPr>
                <w:rFonts w:cs="Arial"/>
                <w:sz w:val="18"/>
                <w:szCs w:val="18"/>
              </w:rPr>
            </w:pPr>
            <w:r w:rsidRPr="00F6554E">
              <w:rPr>
                <w:rFonts w:cs="Arial"/>
                <w:sz w:val="18"/>
                <w:szCs w:val="18"/>
              </w:rPr>
              <w:t>Audit of subsidiaries’ annual accounts</w:t>
            </w:r>
          </w:p>
        </w:tc>
        <w:tc>
          <w:tcPr>
            <w:tcW w:w="1000" w:type="pct"/>
            <w:shd w:val="clear" w:color="auto" w:fill="auto"/>
          </w:tcPr>
          <w:p w:rsidR="009C66B9" w:rsidRPr="00F6554E" w:rsidRDefault="006C5AD4"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b/>
                <w:sz w:val="18"/>
                <w:szCs w:val="18"/>
              </w:rPr>
            </w:pPr>
            <w:r w:rsidRPr="00F6554E">
              <w:rPr>
                <w:rFonts w:cs="Arial"/>
                <w:b/>
                <w:sz w:val="18"/>
                <w:szCs w:val="18"/>
              </w:rPr>
              <w:t>13</w:t>
            </w:r>
          </w:p>
        </w:tc>
        <w:tc>
          <w:tcPr>
            <w:tcW w:w="375" w:type="pct"/>
            <w:shd w:val="clear" w:color="auto" w:fill="auto"/>
          </w:tcPr>
          <w:p w:rsidR="009C66B9" w:rsidRPr="00F6554E" w:rsidRDefault="009C66B9" w:rsidP="00704CC0">
            <w:pPr>
              <w:keepNext/>
              <w:keepLines/>
              <w:tabs>
                <w:tab w:val="left" w:pos="567"/>
                <w:tab w:val="left" w:pos="1134"/>
                <w:tab w:val="left" w:pos="1701"/>
                <w:tab w:val="left" w:pos="2268"/>
              </w:tabs>
              <w:ind w:right="-108"/>
              <w:jc w:val="right"/>
              <w:rPr>
                <w:rFonts w:cs="Arial"/>
                <w:sz w:val="18"/>
                <w:szCs w:val="18"/>
              </w:rPr>
            </w:pPr>
          </w:p>
        </w:tc>
        <w:tc>
          <w:tcPr>
            <w:tcW w:w="750" w:type="pct"/>
          </w:tcPr>
          <w:p w:rsidR="009C66B9" w:rsidRPr="00F6554E" w:rsidRDefault="009C66B9"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r w:rsidRPr="00F6554E">
              <w:rPr>
                <w:rFonts w:cs="Arial"/>
                <w:sz w:val="18"/>
                <w:szCs w:val="18"/>
              </w:rPr>
              <w:t>13</w:t>
            </w:r>
          </w:p>
        </w:tc>
      </w:tr>
      <w:tr w:rsidR="009C66B9" w:rsidRPr="00F6554E" w:rsidTr="00562F9C">
        <w:trPr>
          <w:trHeight w:val="20"/>
        </w:trPr>
        <w:tc>
          <w:tcPr>
            <w:tcW w:w="2875" w:type="pct"/>
          </w:tcPr>
          <w:p w:rsidR="009C66B9" w:rsidRPr="00F6554E" w:rsidRDefault="009C66B9" w:rsidP="00704CC0">
            <w:pPr>
              <w:keepNext/>
              <w:keepLines/>
              <w:tabs>
                <w:tab w:val="left" w:pos="567"/>
                <w:tab w:val="left" w:pos="1134"/>
                <w:tab w:val="left" w:pos="1701"/>
                <w:tab w:val="left" w:pos="2268"/>
              </w:tabs>
              <w:ind w:left="567"/>
              <w:rPr>
                <w:rFonts w:cs="Arial"/>
                <w:sz w:val="18"/>
                <w:szCs w:val="18"/>
              </w:rPr>
            </w:pPr>
            <w:r w:rsidRPr="00F6554E">
              <w:rPr>
                <w:rFonts w:cs="Arial"/>
                <w:sz w:val="18"/>
                <w:szCs w:val="18"/>
              </w:rPr>
              <w:t>Review of Group’s half yearly accounts</w:t>
            </w:r>
          </w:p>
        </w:tc>
        <w:tc>
          <w:tcPr>
            <w:tcW w:w="1000" w:type="pct"/>
            <w:shd w:val="clear" w:color="auto" w:fill="auto"/>
          </w:tcPr>
          <w:p w:rsidR="009C66B9" w:rsidRPr="00F6554E" w:rsidRDefault="006C5AD4"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b/>
                <w:sz w:val="18"/>
                <w:szCs w:val="18"/>
              </w:rPr>
            </w:pPr>
            <w:r w:rsidRPr="00F6554E">
              <w:rPr>
                <w:rFonts w:cs="Arial"/>
                <w:b/>
                <w:sz w:val="18"/>
                <w:szCs w:val="18"/>
              </w:rPr>
              <w:t>15</w:t>
            </w:r>
          </w:p>
        </w:tc>
        <w:tc>
          <w:tcPr>
            <w:tcW w:w="375" w:type="pct"/>
            <w:shd w:val="clear" w:color="auto" w:fill="auto"/>
          </w:tcPr>
          <w:p w:rsidR="009C66B9" w:rsidRPr="00F6554E" w:rsidRDefault="009C66B9" w:rsidP="00704CC0">
            <w:pPr>
              <w:keepNext/>
              <w:keepLines/>
              <w:tabs>
                <w:tab w:val="left" w:pos="567"/>
                <w:tab w:val="left" w:pos="1134"/>
                <w:tab w:val="left" w:pos="1701"/>
                <w:tab w:val="left" w:pos="2268"/>
              </w:tabs>
              <w:ind w:right="-108"/>
              <w:jc w:val="right"/>
              <w:rPr>
                <w:rFonts w:cs="Arial"/>
                <w:sz w:val="18"/>
                <w:szCs w:val="18"/>
              </w:rPr>
            </w:pPr>
          </w:p>
        </w:tc>
        <w:tc>
          <w:tcPr>
            <w:tcW w:w="750" w:type="pct"/>
          </w:tcPr>
          <w:p w:rsidR="009C66B9" w:rsidRPr="00F6554E" w:rsidRDefault="009C66B9" w:rsidP="00704CC0">
            <w:pPr>
              <w:pStyle w:val="newline"/>
              <w:keepNext/>
              <w:keepLines/>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r w:rsidRPr="00F6554E">
              <w:rPr>
                <w:rFonts w:cs="Arial"/>
                <w:sz w:val="18"/>
                <w:szCs w:val="18"/>
              </w:rPr>
              <w:t>15</w:t>
            </w:r>
          </w:p>
        </w:tc>
      </w:tr>
      <w:tr w:rsidR="00F6554E" w:rsidRPr="00F6554E" w:rsidTr="00562F9C">
        <w:trPr>
          <w:trHeight w:val="20"/>
        </w:trPr>
        <w:tc>
          <w:tcPr>
            <w:tcW w:w="2875" w:type="pct"/>
          </w:tcPr>
          <w:p w:rsidR="00F6554E" w:rsidRPr="00F6554E" w:rsidRDefault="00F6554E" w:rsidP="00704CC0">
            <w:pPr>
              <w:pStyle w:val="Heading2"/>
              <w:tabs>
                <w:tab w:val="left" w:pos="567"/>
                <w:tab w:val="left" w:pos="1134"/>
                <w:tab w:val="left" w:pos="1701"/>
                <w:tab w:val="left" w:pos="2268"/>
              </w:tabs>
              <w:spacing w:before="0" w:line="240" w:lineRule="auto"/>
              <w:ind w:left="34"/>
              <w:jc w:val="left"/>
              <w:rPr>
                <w:rFonts w:cs="Arial"/>
                <w:b w:val="0"/>
                <w:sz w:val="18"/>
                <w:szCs w:val="18"/>
              </w:rPr>
            </w:pPr>
          </w:p>
        </w:tc>
        <w:tc>
          <w:tcPr>
            <w:tcW w:w="1000" w:type="pct"/>
            <w:tcBorders>
              <w:top w:val="single" w:sz="4" w:space="0" w:color="auto"/>
              <w:bottom w:val="single" w:sz="4" w:space="0" w:color="auto"/>
            </w:tcBorders>
            <w:shd w:val="clear" w:color="auto" w:fill="auto"/>
          </w:tcPr>
          <w:p w:rsidR="00F6554E" w:rsidRPr="00F6554E" w:rsidRDefault="00F6554E" w:rsidP="00704CC0">
            <w:pPr>
              <w:pStyle w:val="newline"/>
              <w:tabs>
                <w:tab w:val="clear" w:pos="737"/>
                <w:tab w:val="clear" w:pos="1474"/>
                <w:tab w:val="clear" w:pos="2041"/>
                <w:tab w:val="clear" w:pos="5954"/>
                <w:tab w:val="clear" w:pos="7655"/>
                <w:tab w:val="left" w:pos="567"/>
                <w:tab w:val="left" w:pos="1134"/>
                <w:tab w:val="left" w:pos="1701"/>
                <w:tab w:val="left" w:pos="2268"/>
              </w:tabs>
              <w:jc w:val="right"/>
              <w:rPr>
                <w:rFonts w:cs="Arial"/>
                <w:b/>
                <w:sz w:val="18"/>
                <w:szCs w:val="18"/>
              </w:rPr>
            </w:pPr>
            <w:r w:rsidRPr="00F6554E">
              <w:rPr>
                <w:rFonts w:cs="Arial"/>
                <w:b/>
                <w:sz w:val="18"/>
                <w:szCs w:val="18"/>
              </w:rPr>
              <w:t>64</w:t>
            </w:r>
          </w:p>
        </w:tc>
        <w:tc>
          <w:tcPr>
            <w:tcW w:w="375" w:type="pct"/>
            <w:shd w:val="clear" w:color="auto" w:fill="auto"/>
          </w:tcPr>
          <w:p w:rsidR="00F6554E" w:rsidRPr="00F6554E" w:rsidRDefault="00F6554E" w:rsidP="00704CC0">
            <w:pPr>
              <w:pStyle w:val="newline"/>
              <w:tabs>
                <w:tab w:val="clear" w:pos="737"/>
                <w:tab w:val="clear" w:pos="1474"/>
                <w:tab w:val="clear" w:pos="2041"/>
                <w:tab w:val="clear" w:pos="5954"/>
                <w:tab w:val="clear" w:pos="7655"/>
                <w:tab w:val="left" w:pos="567"/>
                <w:tab w:val="left" w:pos="1134"/>
                <w:tab w:val="left" w:pos="1701"/>
                <w:tab w:val="left" w:pos="2268"/>
              </w:tabs>
              <w:jc w:val="right"/>
              <w:rPr>
                <w:rFonts w:cs="Arial"/>
                <w:b/>
                <w:sz w:val="18"/>
                <w:szCs w:val="18"/>
              </w:rPr>
            </w:pPr>
          </w:p>
        </w:tc>
        <w:tc>
          <w:tcPr>
            <w:tcW w:w="750" w:type="pct"/>
            <w:tcBorders>
              <w:top w:val="single" w:sz="4" w:space="0" w:color="auto"/>
              <w:bottom w:val="single" w:sz="4" w:space="0" w:color="auto"/>
            </w:tcBorders>
          </w:tcPr>
          <w:p w:rsidR="00F6554E" w:rsidRPr="00F6554E" w:rsidRDefault="00F6554E" w:rsidP="00704CC0">
            <w:pPr>
              <w:pStyle w:val="newline"/>
              <w:tabs>
                <w:tab w:val="clear" w:pos="737"/>
                <w:tab w:val="clear" w:pos="1474"/>
                <w:tab w:val="clear" w:pos="2041"/>
                <w:tab w:val="clear" w:pos="5954"/>
                <w:tab w:val="clear" w:pos="7655"/>
                <w:tab w:val="left" w:pos="567"/>
                <w:tab w:val="left" w:pos="1134"/>
                <w:tab w:val="left" w:pos="1701"/>
                <w:tab w:val="left" w:pos="2268"/>
              </w:tabs>
              <w:jc w:val="right"/>
              <w:rPr>
                <w:rFonts w:cs="Arial"/>
                <w:sz w:val="18"/>
                <w:szCs w:val="18"/>
              </w:rPr>
            </w:pPr>
            <w:r w:rsidRPr="00F6554E">
              <w:rPr>
                <w:rFonts w:cs="Arial"/>
                <w:sz w:val="18"/>
                <w:szCs w:val="18"/>
              </w:rPr>
              <w:t>64</w:t>
            </w:r>
          </w:p>
        </w:tc>
      </w:tr>
    </w:tbl>
    <w:p w:rsidR="00863596" w:rsidRPr="001B7CD5" w:rsidRDefault="0092140F" w:rsidP="00704CC0">
      <w:pPr>
        <w:keepNext/>
        <w:keepLines/>
        <w:numPr>
          <w:ilvl w:val="0"/>
          <w:numId w:val="4"/>
        </w:numPr>
        <w:tabs>
          <w:tab w:val="clear" w:pos="810"/>
          <w:tab w:val="left" w:pos="567"/>
          <w:tab w:val="left" w:pos="1134"/>
          <w:tab w:val="left" w:pos="1701"/>
          <w:tab w:val="left" w:pos="2268"/>
        </w:tabs>
        <w:spacing w:before="240"/>
        <w:ind w:left="567" w:hanging="567"/>
        <w:rPr>
          <w:rFonts w:cs="Arial"/>
          <w:b/>
        </w:rPr>
      </w:pPr>
      <w:r w:rsidRPr="001B7CD5">
        <w:rPr>
          <w:rFonts w:cs="Arial"/>
          <w:b/>
        </w:rPr>
        <w:t>Taxation</w:t>
      </w:r>
    </w:p>
    <w:p w:rsidR="0099000B" w:rsidRPr="00A76890" w:rsidRDefault="0092140F" w:rsidP="00704CC0">
      <w:pPr>
        <w:pStyle w:val="Normal2-Para"/>
        <w:spacing w:line="240" w:lineRule="auto"/>
        <w:ind w:left="567"/>
      </w:pPr>
      <w:r w:rsidRPr="00A76890">
        <w:t xml:space="preserve">The Company is a resident of the Isle of Man for income tax purposes, being subject to the standard rate of income tax, which is currently 0%. No provision for taxation has, therefore, been made. </w:t>
      </w:r>
    </w:p>
    <w:p w:rsidR="00F072B5" w:rsidRPr="00A76890" w:rsidRDefault="0092140F" w:rsidP="00704CC0">
      <w:pPr>
        <w:pStyle w:val="Normal2-Para"/>
        <w:spacing w:line="240" w:lineRule="auto"/>
        <w:ind w:left="567"/>
      </w:pPr>
      <w:r w:rsidRPr="00A76890">
        <w:t>The Mauritian entities consolidated in the Group</w:t>
      </w:r>
      <w:r w:rsidR="00F072B5" w:rsidRPr="00A76890">
        <w:t xml:space="preserve"> </w:t>
      </w:r>
      <w:r w:rsidRPr="00A76890">
        <w:t xml:space="preserve">are Global Business License Category </w:t>
      </w:r>
      <w:proofErr w:type="gramStart"/>
      <w:r w:rsidRPr="00A76890">
        <w:t>1  companies</w:t>
      </w:r>
      <w:proofErr w:type="gramEnd"/>
      <w:r w:rsidRPr="00A76890">
        <w:t xml:space="preserve"> in Mauritius and under the current laws and regulations are liable to pay income tax on their net income at a rate of 15%. The entities are, however, entitled to a tax credit equivalent to the higher of actual foreign tax suffered and 80% of the Mauritian tax payable in respect of their foreign source income thus reducing their maximum effective tax rate to 3%. No Mauritian capital gains tax is payable on profits arising from the sales of securities, and any dividends and redemption proceeds paid by the entities to their member will be exempt in Mauritius from any withholding tax. At 31 August 201</w:t>
      </w:r>
      <w:r w:rsidR="009C66B9" w:rsidRPr="00A76890">
        <w:t>3</w:t>
      </w:r>
      <w:r w:rsidRPr="00A76890">
        <w:t>, the entities had no income tax liability due to tax losses carried forward.</w:t>
      </w:r>
    </w:p>
    <w:p w:rsidR="0092140F" w:rsidRPr="00A76890" w:rsidRDefault="0092140F" w:rsidP="00704CC0">
      <w:pPr>
        <w:pStyle w:val="Heading3-Sub-para"/>
        <w:ind w:left="567"/>
      </w:pPr>
      <w:r w:rsidRPr="00A76890">
        <w:t>Deferred taxation</w:t>
      </w:r>
    </w:p>
    <w:p w:rsidR="0092140F" w:rsidRPr="00A76890" w:rsidRDefault="0092140F" w:rsidP="00704CC0">
      <w:pPr>
        <w:pStyle w:val="Normal3-Sub-para"/>
        <w:spacing w:line="240" w:lineRule="auto"/>
        <w:ind w:left="567"/>
      </w:pPr>
      <w:r w:rsidRPr="00A76890">
        <w:t xml:space="preserve">No deferred tax asset has been recognised in respect of the tax loss carried forward for GBP </w:t>
      </w:r>
      <w:r w:rsidR="00A9442F" w:rsidRPr="00A76890">
        <w:t>2,010</w:t>
      </w:r>
      <w:r w:rsidRPr="00A76890">
        <w:t xml:space="preserve"> thousand and GBP </w:t>
      </w:r>
      <w:r w:rsidR="00A9442F" w:rsidRPr="00A76890">
        <w:t>2,037</w:t>
      </w:r>
      <w:r w:rsidRPr="00A76890">
        <w:t xml:space="preserve"> thousand</w:t>
      </w:r>
      <w:r w:rsidR="00580B3E" w:rsidRPr="00A76890">
        <w:t xml:space="preserve"> </w:t>
      </w:r>
      <w:r w:rsidRPr="00A76890">
        <w:t>in Tusk Investments 1 Limited and Tusk Investments 2</w:t>
      </w:r>
      <w:r w:rsidR="005252D4" w:rsidRPr="00A76890">
        <w:t xml:space="preserve"> </w:t>
      </w:r>
      <w:r w:rsidRPr="00A76890">
        <w:t>Limited respectively as no taxable income is probable in the foreseeable future.</w:t>
      </w:r>
    </w:p>
    <w:p w:rsidR="0092140F" w:rsidRPr="00A76890" w:rsidRDefault="0092140F" w:rsidP="00704CC0">
      <w:pPr>
        <w:pStyle w:val="Normal3-Sub-para"/>
        <w:spacing w:line="240" w:lineRule="auto"/>
        <w:ind w:left="567"/>
      </w:pPr>
      <w:r w:rsidRPr="00A76890">
        <w:t xml:space="preserve">A reconciliation of the income tax expense based on accounting profit and the actual income tax expense is as follows: </w:t>
      </w:r>
    </w:p>
    <w:tbl>
      <w:tblPr>
        <w:tblW w:w="8953" w:type="dxa"/>
        <w:tblLayout w:type="fixed"/>
        <w:tblCellMar>
          <w:top w:w="28" w:type="dxa"/>
          <w:left w:w="57" w:type="dxa"/>
          <w:bottom w:w="28" w:type="dxa"/>
          <w:right w:w="57" w:type="dxa"/>
        </w:tblCellMar>
        <w:tblLook w:val="0000"/>
      </w:tblPr>
      <w:tblGrid>
        <w:gridCol w:w="5147"/>
        <w:gridCol w:w="1791"/>
        <w:gridCol w:w="224"/>
        <w:gridCol w:w="1791"/>
      </w:tblGrid>
      <w:tr w:rsidR="001B7CD5" w:rsidRPr="001B7CD5" w:rsidTr="00562F9C">
        <w:trPr>
          <w:trHeight w:val="20"/>
          <w:tblHeader/>
        </w:trPr>
        <w:tc>
          <w:tcPr>
            <w:tcW w:w="2875" w:type="pct"/>
            <w:shd w:val="clear" w:color="auto" w:fill="auto"/>
            <w:noWrap/>
            <w:vAlign w:val="bottom"/>
          </w:tcPr>
          <w:p w:rsidR="001B7CD5" w:rsidRPr="001B7CD5" w:rsidRDefault="001B7CD5" w:rsidP="00704CC0">
            <w:pPr>
              <w:keepNext/>
              <w:keepLines/>
              <w:tabs>
                <w:tab w:val="left" w:pos="567"/>
                <w:tab w:val="left" w:pos="1134"/>
                <w:tab w:val="left" w:pos="1701"/>
                <w:tab w:val="left" w:pos="2268"/>
              </w:tabs>
              <w:ind w:left="567"/>
              <w:rPr>
                <w:rFonts w:cs="Arial"/>
                <w:b/>
                <w:sz w:val="18"/>
                <w:szCs w:val="18"/>
              </w:rPr>
            </w:pPr>
          </w:p>
        </w:tc>
        <w:tc>
          <w:tcPr>
            <w:tcW w:w="1000" w:type="pct"/>
            <w:shd w:val="clear" w:color="auto" w:fill="auto"/>
            <w:noWrap/>
            <w:vAlign w:val="bottom"/>
          </w:tcPr>
          <w:p w:rsidR="001B7CD5" w:rsidRPr="001B7CD5" w:rsidRDefault="001B7CD5" w:rsidP="00704CC0">
            <w:pPr>
              <w:keepNext/>
              <w:keepLines/>
              <w:tabs>
                <w:tab w:val="left" w:pos="567"/>
                <w:tab w:val="left" w:pos="1134"/>
                <w:tab w:val="left" w:pos="1701"/>
                <w:tab w:val="left" w:pos="2268"/>
              </w:tabs>
              <w:jc w:val="right"/>
              <w:rPr>
                <w:rFonts w:cs="Arial"/>
                <w:b/>
                <w:sz w:val="18"/>
                <w:szCs w:val="18"/>
              </w:rPr>
            </w:pPr>
            <w:r w:rsidRPr="001B7CD5">
              <w:rPr>
                <w:rFonts w:cs="Arial"/>
                <w:b/>
                <w:sz w:val="18"/>
                <w:szCs w:val="18"/>
              </w:rPr>
              <w:t>2013</w:t>
            </w:r>
          </w:p>
          <w:p w:rsidR="001B7CD5" w:rsidRPr="001B7CD5" w:rsidRDefault="001B7CD5" w:rsidP="00704CC0">
            <w:pPr>
              <w:keepNext/>
              <w:keepLines/>
              <w:tabs>
                <w:tab w:val="left" w:pos="567"/>
                <w:tab w:val="left" w:pos="1134"/>
                <w:tab w:val="left" w:pos="1701"/>
                <w:tab w:val="left" w:pos="2268"/>
              </w:tabs>
              <w:jc w:val="right"/>
              <w:rPr>
                <w:rFonts w:cs="Arial"/>
                <w:b/>
                <w:sz w:val="18"/>
                <w:szCs w:val="18"/>
              </w:rPr>
            </w:pPr>
            <w:r w:rsidRPr="001B7CD5">
              <w:rPr>
                <w:rFonts w:cs="Arial"/>
                <w:b/>
                <w:bCs/>
                <w:sz w:val="18"/>
                <w:szCs w:val="18"/>
              </w:rPr>
              <w:t>£'000</w:t>
            </w:r>
          </w:p>
        </w:tc>
        <w:tc>
          <w:tcPr>
            <w:tcW w:w="125" w:type="pct"/>
            <w:shd w:val="clear" w:color="auto" w:fill="auto"/>
            <w:noWrap/>
            <w:vAlign w:val="bottom"/>
          </w:tcPr>
          <w:p w:rsidR="001B7CD5" w:rsidRPr="001B7CD5" w:rsidRDefault="001B7CD5" w:rsidP="00704CC0">
            <w:pPr>
              <w:keepNext/>
              <w:keepLines/>
              <w:tabs>
                <w:tab w:val="left" w:pos="567"/>
                <w:tab w:val="left" w:pos="1134"/>
                <w:tab w:val="left" w:pos="1701"/>
                <w:tab w:val="left" w:pos="2268"/>
              </w:tabs>
              <w:jc w:val="center"/>
              <w:outlineLvl w:val="1"/>
              <w:rPr>
                <w:rFonts w:cs="Arial"/>
                <w:sz w:val="18"/>
                <w:szCs w:val="18"/>
              </w:rPr>
            </w:pPr>
          </w:p>
        </w:tc>
        <w:tc>
          <w:tcPr>
            <w:tcW w:w="1000" w:type="pct"/>
            <w:vAlign w:val="bottom"/>
          </w:tcPr>
          <w:p w:rsidR="001B7CD5" w:rsidRPr="001B7CD5" w:rsidRDefault="001B7CD5" w:rsidP="00704CC0">
            <w:pPr>
              <w:keepNext/>
              <w:keepLines/>
              <w:tabs>
                <w:tab w:val="left" w:pos="567"/>
                <w:tab w:val="left" w:pos="1134"/>
                <w:tab w:val="left" w:pos="1701"/>
                <w:tab w:val="left" w:pos="2268"/>
              </w:tabs>
              <w:jc w:val="right"/>
              <w:rPr>
                <w:rFonts w:cs="Arial"/>
                <w:sz w:val="18"/>
                <w:szCs w:val="18"/>
              </w:rPr>
            </w:pPr>
            <w:r w:rsidRPr="001B7CD5">
              <w:rPr>
                <w:rFonts w:cs="Arial"/>
                <w:sz w:val="18"/>
                <w:szCs w:val="18"/>
              </w:rPr>
              <w:t>2012</w:t>
            </w:r>
          </w:p>
          <w:p w:rsidR="001B7CD5" w:rsidRPr="001B7CD5" w:rsidRDefault="001B7CD5" w:rsidP="00704CC0">
            <w:pPr>
              <w:keepNext/>
              <w:keepLines/>
              <w:tabs>
                <w:tab w:val="left" w:pos="567"/>
                <w:tab w:val="left" w:pos="1134"/>
                <w:tab w:val="left" w:pos="1701"/>
                <w:tab w:val="left" w:pos="2268"/>
              </w:tabs>
              <w:jc w:val="right"/>
              <w:rPr>
                <w:rFonts w:cs="Arial"/>
                <w:sz w:val="18"/>
                <w:szCs w:val="18"/>
              </w:rPr>
            </w:pPr>
            <w:r w:rsidRPr="001B7CD5">
              <w:rPr>
                <w:rFonts w:cs="Arial"/>
                <w:bCs/>
                <w:sz w:val="18"/>
                <w:szCs w:val="18"/>
              </w:rPr>
              <w:t>£'000</w:t>
            </w:r>
          </w:p>
        </w:tc>
      </w:tr>
      <w:tr w:rsidR="0092140F" w:rsidRPr="001B7CD5" w:rsidTr="00562F9C">
        <w:trPr>
          <w:trHeight w:val="20"/>
        </w:trPr>
        <w:tc>
          <w:tcPr>
            <w:tcW w:w="2875" w:type="pct"/>
            <w:shd w:val="clear" w:color="auto" w:fill="auto"/>
            <w:noWrap/>
            <w:vAlign w:val="bottom"/>
          </w:tcPr>
          <w:p w:rsidR="0092140F" w:rsidRPr="001B7CD5" w:rsidRDefault="0092140F" w:rsidP="00704CC0">
            <w:pPr>
              <w:keepNext/>
              <w:keepLines/>
              <w:tabs>
                <w:tab w:val="left" w:pos="567"/>
                <w:tab w:val="left" w:pos="1134"/>
                <w:tab w:val="left" w:pos="1701"/>
                <w:tab w:val="left" w:pos="2268"/>
              </w:tabs>
              <w:ind w:left="567"/>
              <w:rPr>
                <w:rFonts w:cs="Arial"/>
                <w:b/>
                <w:sz w:val="18"/>
                <w:szCs w:val="18"/>
              </w:rPr>
            </w:pPr>
            <w:r w:rsidRPr="001B7CD5">
              <w:rPr>
                <w:rFonts w:cs="Arial"/>
                <w:b/>
                <w:sz w:val="18"/>
                <w:szCs w:val="18"/>
              </w:rPr>
              <w:t>Analysis of charge for the year</w:t>
            </w:r>
          </w:p>
        </w:tc>
        <w:tc>
          <w:tcPr>
            <w:tcW w:w="1000" w:type="pct"/>
            <w:shd w:val="clear" w:color="auto" w:fill="auto"/>
            <w:noWrap/>
            <w:vAlign w:val="bottom"/>
          </w:tcPr>
          <w:p w:rsidR="0092140F" w:rsidRPr="001B7CD5" w:rsidRDefault="0092140F" w:rsidP="00704CC0">
            <w:pPr>
              <w:keepNext/>
              <w:keepLines/>
              <w:tabs>
                <w:tab w:val="left" w:pos="567"/>
                <w:tab w:val="left" w:pos="1134"/>
                <w:tab w:val="left" w:pos="1701"/>
                <w:tab w:val="left" w:pos="2268"/>
              </w:tabs>
              <w:rPr>
                <w:rFonts w:cs="Arial"/>
                <w:b/>
                <w:sz w:val="18"/>
                <w:szCs w:val="18"/>
              </w:rPr>
            </w:pPr>
          </w:p>
        </w:tc>
        <w:tc>
          <w:tcPr>
            <w:tcW w:w="125" w:type="pct"/>
            <w:shd w:val="clear" w:color="auto" w:fill="auto"/>
            <w:noWrap/>
            <w:vAlign w:val="bottom"/>
          </w:tcPr>
          <w:p w:rsidR="0092140F" w:rsidRPr="001B7CD5" w:rsidRDefault="0092140F" w:rsidP="00704CC0">
            <w:pPr>
              <w:keepNext/>
              <w:keepLines/>
              <w:tabs>
                <w:tab w:val="left" w:pos="567"/>
                <w:tab w:val="left" w:pos="1134"/>
                <w:tab w:val="left" w:pos="1701"/>
                <w:tab w:val="left" w:pos="2268"/>
              </w:tabs>
              <w:rPr>
                <w:rFonts w:cs="Arial"/>
                <w:b/>
                <w:sz w:val="18"/>
                <w:szCs w:val="18"/>
              </w:rPr>
            </w:pPr>
          </w:p>
        </w:tc>
        <w:tc>
          <w:tcPr>
            <w:tcW w:w="1000" w:type="pct"/>
            <w:vAlign w:val="bottom"/>
          </w:tcPr>
          <w:p w:rsidR="0092140F" w:rsidRPr="001B7CD5" w:rsidRDefault="0092140F" w:rsidP="00704CC0">
            <w:pPr>
              <w:keepNext/>
              <w:keepLines/>
              <w:tabs>
                <w:tab w:val="left" w:pos="567"/>
                <w:tab w:val="left" w:pos="1134"/>
                <w:tab w:val="left" w:pos="1701"/>
                <w:tab w:val="left" w:pos="2268"/>
              </w:tabs>
              <w:rPr>
                <w:rFonts w:cs="Arial"/>
                <w:sz w:val="18"/>
                <w:szCs w:val="18"/>
              </w:rPr>
            </w:pPr>
          </w:p>
        </w:tc>
      </w:tr>
      <w:tr w:rsidR="0092140F" w:rsidRPr="001B7CD5" w:rsidTr="00562F9C">
        <w:trPr>
          <w:trHeight w:val="20"/>
        </w:trPr>
        <w:tc>
          <w:tcPr>
            <w:tcW w:w="2875" w:type="pct"/>
            <w:shd w:val="clear" w:color="auto" w:fill="auto"/>
            <w:noWrap/>
            <w:vAlign w:val="bottom"/>
          </w:tcPr>
          <w:p w:rsidR="0092140F" w:rsidRPr="001B7CD5" w:rsidRDefault="0092140F" w:rsidP="00704CC0">
            <w:pPr>
              <w:keepNext/>
              <w:keepLines/>
              <w:tabs>
                <w:tab w:val="left" w:pos="567"/>
                <w:tab w:val="left" w:pos="1134"/>
                <w:tab w:val="left" w:pos="1701"/>
                <w:tab w:val="left" w:pos="2268"/>
              </w:tabs>
              <w:ind w:left="567"/>
              <w:rPr>
                <w:rFonts w:cs="Arial"/>
                <w:sz w:val="18"/>
                <w:szCs w:val="18"/>
              </w:rPr>
            </w:pPr>
            <w:r w:rsidRPr="001B7CD5">
              <w:rPr>
                <w:rFonts w:cs="Arial"/>
                <w:sz w:val="18"/>
                <w:szCs w:val="18"/>
              </w:rPr>
              <w:t>Income tax expense</w:t>
            </w:r>
          </w:p>
        </w:tc>
        <w:tc>
          <w:tcPr>
            <w:tcW w:w="1000" w:type="pct"/>
            <w:tcBorders>
              <w:bottom w:val="single" w:sz="4" w:space="0" w:color="auto"/>
            </w:tcBorders>
            <w:shd w:val="clear" w:color="auto" w:fill="auto"/>
            <w:noWrap/>
          </w:tcPr>
          <w:p w:rsidR="0092140F" w:rsidRPr="001B7CD5" w:rsidRDefault="0092140F" w:rsidP="00704CC0">
            <w:pPr>
              <w:keepNext/>
              <w:keepLines/>
              <w:tabs>
                <w:tab w:val="left" w:pos="567"/>
                <w:tab w:val="left" w:pos="1134"/>
                <w:tab w:val="left" w:pos="1701"/>
                <w:tab w:val="left" w:pos="2268"/>
              </w:tabs>
              <w:jc w:val="right"/>
              <w:rPr>
                <w:rFonts w:cs="Arial"/>
                <w:b/>
                <w:sz w:val="18"/>
                <w:szCs w:val="18"/>
              </w:rPr>
            </w:pPr>
            <w:r w:rsidRPr="001B7CD5">
              <w:rPr>
                <w:rFonts w:cs="Arial"/>
                <w:b/>
                <w:sz w:val="18"/>
                <w:szCs w:val="18"/>
              </w:rPr>
              <w:t>-</w:t>
            </w:r>
          </w:p>
        </w:tc>
        <w:tc>
          <w:tcPr>
            <w:tcW w:w="125" w:type="pct"/>
            <w:tcBorders>
              <w:bottom w:val="single" w:sz="4" w:space="0" w:color="auto"/>
            </w:tcBorders>
            <w:shd w:val="clear" w:color="auto" w:fill="auto"/>
            <w:noWrap/>
          </w:tcPr>
          <w:p w:rsidR="0092140F" w:rsidRPr="001B7CD5" w:rsidRDefault="0092140F" w:rsidP="00704CC0">
            <w:pPr>
              <w:keepNext/>
              <w:keepLines/>
              <w:tabs>
                <w:tab w:val="left" w:pos="567"/>
                <w:tab w:val="left" w:pos="1134"/>
                <w:tab w:val="left" w:pos="1701"/>
                <w:tab w:val="left" w:pos="2268"/>
              </w:tabs>
              <w:jc w:val="right"/>
              <w:rPr>
                <w:rFonts w:cs="Arial"/>
                <w:sz w:val="18"/>
                <w:szCs w:val="18"/>
              </w:rPr>
            </w:pPr>
          </w:p>
        </w:tc>
        <w:tc>
          <w:tcPr>
            <w:tcW w:w="1000" w:type="pct"/>
            <w:tcBorders>
              <w:bottom w:val="single" w:sz="4" w:space="0" w:color="auto"/>
            </w:tcBorders>
          </w:tcPr>
          <w:p w:rsidR="0092140F" w:rsidRPr="001B7CD5" w:rsidRDefault="0092140F" w:rsidP="00704CC0">
            <w:pPr>
              <w:keepNext/>
              <w:keepLines/>
              <w:tabs>
                <w:tab w:val="left" w:pos="567"/>
                <w:tab w:val="left" w:pos="1134"/>
                <w:tab w:val="left" w:pos="1701"/>
                <w:tab w:val="left" w:pos="2268"/>
              </w:tabs>
              <w:jc w:val="right"/>
              <w:rPr>
                <w:rFonts w:cs="Arial"/>
                <w:sz w:val="18"/>
                <w:szCs w:val="18"/>
              </w:rPr>
            </w:pPr>
            <w:r w:rsidRPr="001B7CD5">
              <w:rPr>
                <w:rFonts w:cs="Arial"/>
                <w:sz w:val="18"/>
                <w:szCs w:val="18"/>
              </w:rPr>
              <w:t>-</w:t>
            </w:r>
          </w:p>
        </w:tc>
      </w:tr>
      <w:tr w:rsidR="0092140F" w:rsidRPr="001B7CD5" w:rsidTr="00562F9C">
        <w:trPr>
          <w:trHeight w:val="20"/>
        </w:trPr>
        <w:tc>
          <w:tcPr>
            <w:tcW w:w="2875" w:type="pct"/>
            <w:shd w:val="clear" w:color="auto" w:fill="auto"/>
            <w:noWrap/>
            <w:vAlign w:val="bottom"/>
          </w:tcPr>
          <w:p w:rsidR="0092140F" w:rsidRPr="001B7CD5" w:rsidRDefault="0092140F" w:rsidP="00704CC0">
            <w:pPr>
              <w:keepNext/>
              <w:keepLines/>
              <w:tabs>
                <w:tab w:val="left" w:pos="567"/>
                <w:tab w:val="left" w:pos="1134"/>
                <w:tab w:val="left" w:pos="1701"/>
                <w:tab w:val="left" w:pos="2268"/>
              </w:tabs>
              <w:ind w:left="567"/>
              <w:rPr>
                <w:rFonts w:cs="Arial"/>
                <w:b/>
                <w:sz w:val="18"/>
                <w:szCs w:val="18"/>
              </w:rPr>
            </w:pPr>
            <w:r w:rsidRPr="001B7CD5">
              <w:rPr>
                <w:rFonts w:cs="Arial"/>
                <w:b/>
                <w:sz w:val="18"/>
                <w:szCs w:val="18"/>
              </w:rPr>
              <w:t>Total tax expense</w:t>
            </w:r>
          </w:p>
        </w:tc>
        <w:tc>
          <w:tcPr>
            <w:tcW w:w="1000" w:type="pct"/>
            <w:tcBorders>
              <w:top w:val="single" w:sz="4" w:space="0" w:color="auto"/>
              <w:bottom w:val="single" w:sz="4" w:space="0" w:color="auto"/>
            </w:tcBorders>
            <w:shd w:val="clear" w:color="auto" w:fill="auto"/>
            <w:noWrap/>
          </w:tcPr>
          <w:p w:rsidR="0092140F" w:rsidRPr="001B7CD5" w:rsidRDefault="0092140F" w:rsidP="00704CC0">
            <w:pPr>
              <w:keepNext/>
              <w:keepLines/>
              <w:tabs>
                <w:tab w:val="left" w:pos="567"/>
                <w:tab w:val="left" w:pos="1134"/>
                <w:tab w:val="left" w:pos="1701"/>
                <w:tab w:val="left" w:pos="2268"/>
              </w:tabs>
              <w:jc w:val="right"/>
              <w:rPr>
                <w:rFonts w:cs="Arial"/>
                <w:b/>
                <w:sz w:val="18"/>
                <w:szCs w:val="18"/>
              </w:rPr>
            </w:pPr>
            <w:r w:rsidRPr="001B7CD5">
              <w:rPr>
                <w:rFonts w:cs="Arial"/>
                <w:b/>
                <w:sz w:val="18"/>
                <w:szCs w:val="18"/>
              </w:rPr>
              <w:t>-</w:t>
            </w:r>
          </w:p>
        </w:tc>
        <w:tc>
          <w:tcPr>
            <w:tcW w:w="125" w:type="pct"/>
            <w:tcBorders>
              <w:top w:val="single" w:sz="4" w:space="0" w:color="auto"/>
              <w:bottom w:val="single" w:sz="4" w:space="0" w:color="auto"/>
            </w:tcBorders>
            <w:shd w:val="clear" w:color="auto" w:fill="auto"/>
            <w:noWrap/>
          </w:tcPr>
          <w:p w:rsidR="0092140F" w:rsidRPr="001B7CD5" w:rsidRDefault="0092140F" w:rsidP="00704CC0">
            <w:pPr>
              <w:keepNext/>
              <w:keepLines/>
              <w:tabs>
                <w:tab w:val="left" w:pos="567"/>
                <w:tab w:val="left" w:pos="1134"/>
                <w:tab w:val="left" w:pos="1701"/>
                <w:tab w:val="left" w:pos="2268"/>
              </w:tabs>
              <w:jc w:val="right"/>
              <w:rPr>
                <w:rFonts w:cs="Arial"/>
                <w:sz w:val="18"/>
                <w:szCs w:val="18"/>
              </w:rPr>
            </w:pPr>
          </w:p>
        </w:tc>
        <w:tc>
          <w:tcPr>
            <w:tcW w:w="1000" w:type="pct"/>
            <w:tcBorders>
              <w:top w:val="single" w:sz="4" w:space="0" w:color="auto"/>
              <w:bottom w:val="single" w:sz="4" w:space="0" w:color="auto"/>
            </w:tcBorders>
          </w:tcPr>
          <w:p w:rsidR="0092140F" w:rsidRPr="001B7CD5" w:rsidRDefault="0092140F" w:rsidP="00704CC0">
            <w:pPr>
              <w:keepNext/>
              <w:keepLines/>
              <w:tabs>
                <w:tab w:val="left" w:pos="567"/>
                <w:tab w:val="left" w:pos="1134"/>
                <w:tab w:val="left" w:pos="1701"/>
                <w:tab w:val="left" w:pos="2268"/>
              </w:tabs>
              <w:jc w:val="right"/>
              <w:rPr>
                <w:rFonts w:cs="Arial"/>
                <w:sz w:val="18"/>
                <w:szCs w:val="18"/>
              </w:rPr>
            </w:pPr>
            <w:r w:rsidRPr="001B7CD5">
              <w:rPr>
                <w:rFonts w:cs="Arial"/>
                <w:sz w:val="18"/>
                <w:szCs w:val="18"/>
              </w:rPr>
              <w:t>-</w:t>
            </w:r>
          </w:p>
        </w:tc>
      </w:tr>
      <w:tr w:rsidR="009C66B9" w:rsidRPr="001B7CD5" w:rsidTr="00562F9C">
        <w:trPr>
          <w:trHeight w:val="20"/>
        </w:trPr>
        <w:tc>
          <w:tcPr>
            <w:tcW w:w="2875" w:type="pct"/>
            <w:shd w:val="clear" w:color="auto" w:fill="auto"/>
            <w:noWrap/>
            <w:vAlign w:val="bottom"/>
          </w:tcPr>
          <w:p w:rsidR="009C66B9" w:rsidRPr="001B7CD5" w:rsidRDefault="009C66B9" w:rsidP="00704CC0">
            <w:pPr>
              <w:keepNext/>
              <w:keepLines/>
              <w:tabs>
                <w:tab w:val="left" w:pos="567"/>
                <w:tab w:val="left" w:pos="1134"/>
                <w:tab w:val="left" w:pos="1701"/>
                <w:tab w:val="left" w:pos="2268"/>
              </w:tabs>
              <w:ind w:left="567"/>
              <w:rPr>
                <w:rFonts w:cs="Arial"/>
                <w:sz w:val="18"/>
                <w:szCs w:val="18"/>
              </w:rPr>
            </w:pPr>
            <w:r w:rsidRPr="001B7CD5">
              <w:rPr>
                <w:rFonts w:cs="Arial"/>
                <w:sz w:val="18"/>
                <w:szCs w:val="18"/>
              </w:rPr>
              <w:t>Loss before taxation</w:t>
            </w:r>
          </w:p>
        </w:tc>
        <w:tc>
          <w:tcPr>
            <w:tcW w:w="1000" w:type="pct"/>
            <w:shd w:val="clear" w:color="auto" w:fill="auto"/>
            <w:noWrap/>
          </w:tcPr>
          <w:p w:rsidR="009C66B9" w:rsidRPr="001B7CD5" w:rsidRDefault="00A9442F" w:rsidP="00704CC0">
            <w:pPr>
              <w:keepNext/>
              <w:keepLines/>
              <w:tabs>
                <w:tab w:val="left" w:pos="567"/>
                <w:tab w:val="left" w:pos="1134"/>
                <w:tab w:val="left" w:pos="1701"/>
                <w:tab w:val="left" w:pos="2268"/>
              </w:tabs>
              <w:jc w:val="right"/>
              <w:rPr>
                <w:rFonts w:cs="Arial"/>
                <w:b/>
                <w:sz w:val="18"/>
                <w:szCs w:val="18"/>
              </w:rPr>
            </w:pPr>
            <w:r w:rsidRPr="001B7CD5">
              <w:rPr>
                <w:rFonts w:cs="Arial"/>
                <w:b/>
                <w:sz w:val="18"/>
                <w:szCs w:val="18"/>
              </w:rPr>
              <w:t>(3,859)</w:t>
            </w:r>
          </w:p>
        </w:tc>
        <w:tc>
          <w:tcPr>
            <w:tcW w:w="125" w:type="pct"/>
            <w:shd w:val="clear" w:color="auto" w:fill="auto"/>
            <w:noWrap/>
          </w:tcPr>
          <w:p w:rsidR="009C66B9" w:rsidRPr="001B7CD5" w:rsidRDefault="009C66B9" w:rsidP="00704CC0">
            <w:pPr>
              <w:keepNext/>
              <w:keepLines/>
              <w:tabs>
                <w:tab w:val="left" w:pos="567"/>
                <w:tab w:val="left" w:pos="1134"/>
                <w:tab w:val="left" w:pos="1701"/>
                <w:tab w:val="left" w:pos="2268"/>
              </w:tabs>
              <w:jc w:val="right"/>
              <w:rPr>
                <w:rFonts w:cs="Arial"/>
                <w:sz w:val="18"/>
                <w:szCs w:val="18"/>
              </w:rPr>
            </w:pPr>
          </w:p>
        </w:tc>
        <w:tc>
          <w:tcPr>
            <w:tcW w:w="1000" w:type="pct"/>
          </w:tcPr>
          <w:p w:rsidR="009C66B9" w:rsidRPr="001B7CD5" w:rsidRDefault="00141AC9" w:rsidP="00704CC0">
            <w:pPr>
              <w:keepNext/>
              <w:keepLines/>
              <w:tabs>
                <w:tab w:val="left" w:pos="567"/>
                <w:tab w:val="left" w:pos="1134"/>
                <w:tab w:val="left" w:pos="1701"/>
                <w:tab w:val="left" w:pos="2268"/>
              </w:tabs>
              <w:jc w:val="right"/>
              <w:rPr>
                <w:rFonts w:cs="Arial"/>
                <w:sz w:val="18"/>
                <w:szCs w:val="18"/>
              </w:rPr>
            </w:pPr>
            <w:r w:rsidRPr="001B7CD5">
              <w:rPr>
                <w:rFonts w:cs="Arial"/>
                <w:sz w:val="18"/>
                <w:szCs w:val="18"/>
              </w:rPr>
              <w:t>(4,234)</w:t>
            </w:r>
          </w:p>
        </w:tc>
      </w:tr>
      <w:tr w:rsidR="009C66B9" w:rsidRPr="001B7CD5" w:rsidTr="00562F9C">
        <w:trPr>
          <w:trHeight w:val="20"/>
        </w:trPr>
        <w:tc>
          <w:tcPr>
            <w:tcW w:w="2875" w:type="pct"/>
            <w:shd w:val="clear" w:color="auto" w:fill="auto"/>
            <w:noWrap/>
            <w:vAlign w:val="bottom"/>
          </w:tcPr>
          <w:p w:rsidR="009C66B9" w:rsidRPr="001B7CD5" w:rsidRDefault="009C66B9" w:rsidP="00704CC0">
            <w:pPr>
              <w:keepNext/>
              <w:keepLines/>
              <w:tabs>
                <w:tab w:val="left" w:pos="567"/>
                <w:tab w:val="left" w:pos="1134"/>
                <w:tab w:val="left" w:pos="1701"/>
                <w:tab w:val="left" w:pos="2268"/>
              </w:tabs>
              <w:ind w:left="567"/>
              <w:rPr>
                <w:rFonts w:cs="Arial"/>
                <w:sz w:val="18"/>
                <w:szCs w:val="18"/>
              </w:rPr>
            </w:pPr>
            <w:r w:rsidRPr="001B7CD5">
              <w:rPr>
                <w:rFonts w:cs="Arial"/>
                <w:i/>
                <w:sz w:val="18"/>
                <w:szCs w:val="18"/>
              </w:rPr>
              <w:t xml:space="preserve">Less: </w:t>
            </w:r>
            <w:r w:rsidRPr="001B7CD5">
              <w:rPr>
                <w:rFonts w:cs="Arial"/>
                <w:sz w:val="18"/>
                <w:szCs w:val="18"/>
              </w:rPr>
              <w:t>Loss attributable to Elephant Capital plc and other Group  companies except Mauritian Funds</w:t>
            </w:r>
          </w:p>
        </w:tc>
        <w:tc>
          <w:tcPr>
            <w:tcW w:w="1000" w:type="pct"/>
            <w:tcBorders>
              <w:bottom w:val="single" w:sz="4" w:space="0" w:color="auto"/>
            </w:tcBorders>
            <w:shd w:val="clear" w:color="auto" w:fill="auto"/>
            <w:noWrap/>
          </w:tcPr>
          <w:p w:rsidR="009C66B9" w:rsidRPr="001B7CD5" w:rsidRDefault="00A9442F" w:rsidP="00704CC0">
            <w:pPr>
              <w:keepNext/>
              <w:keepLines/>
              <w:tabs>
                <w:tab w:val="left" w:pos="567"/>
                <w:tab w:val="left" w:pos="1134"/>
                <w:tab w:val="left" w:pos="1701"/>
                <w:tab w:val="left" w:pos="2268"/>
              </w:tabs>
              <w:jc w:val="right"/>
              <w:rPr>
                <w:rFonts w:cs="Arial"/>
                <w:b/>
                <w:sz w:val="18"/>
                <w:szCs w:val="18"/>
              </w:rPr>
            </w:pPr>
            <w:r w:rsidRPr="001B7CD5">
              <w:rPr>
                <w:rFonts w:cs="Arial"/>
                <w:b/>
                <w:sz w:val="18"/>
                <w:szCs w:val="18"/>
              </w:rPr>
              <w:t>380</w:t>
            </w:r>
          </w:p>
        </w:tc>
        <w:tc>
          <w:tcPr>
            <w:tcW w:w="125" w:type="pct"/>
            <w:shd w:val="clear" w:color="auto" w:fill="auto"/>
            <w:noWrap/>
          </w:tcPr>
          <w:p w:rsidR="009C66B9" w:rsidRPr="001B7CD5" w:rsidRDefault="009C66B9" w:rsidP="00704CC0">
            <w:pPr>
              <w:keepNext/>
              <w:keepLines/>
              <w:tabs>
                <w:tab w:val="left" w:pos="567"/>
                <w:tab w:val="left" w:pos="1134"/>
                <w:tab w:val="left" w:pos="1701"/>
                <w:tab w:val="left" w:pos="2268"/>
              </w:tabs>
              <w:jc w:val="right"/>
              <w:rPr>
                <w:rFonts w:cs="Arial"/>
                <w:sz w:val="18"/>
                <w:szCs w:val="18"/>
              </w:rPr>
            </w:pPr>
          </w:p>
        </w:tc>
        <w:tc>
          <w:tcPr>
            <w:tcW w:w="1000" w:type="pct"/>
          </w:tcPr>
          <w:p w:rsidR="009C66B9" w:rsidRPr="001B7CD5" w:rsidRDefault="00141AC9" w:rsidP="00704CC0">
            <w:pPr>
              <w:keepNext/>
              <w:keepLines/>
              <w:tabs>
                <w:tab w:val="left" w:pos="567"/>
                <w:tab w:val="left" w:pos="1134"/>
                <w:tab w:val="left" w:pos="1701"/>
                <w:tab w:val="left" w:pos="2268"/>
              </w:tabs>
              <w:jc w:val="right"/>
              <w:rPr>
                <w:rFonts w:cs="Arial"/>
                <w:sz w:val="18"/>
                <w:szCs w:val="18"/>
              </w:rPr>
            </w:pPr>
            <w:r w:rsidRPr="001B7CD5">
              <w:rPr>
                <w:rFonts w:cs="Arial"/>
                <w:sz w:val="18"/>
                <w:szCs w:val="18"/>
              </w:rPr>
              <w:t>333</w:t>
            </w:r>
          </w:p>
        </w:tc>
      </w:tr>
      <w:tr w:rsidR="009C66B9" w:rsidRPr="001B7CD5" w:rsidTr="00562F9C">
        <w:trPr>
          <w:trHeight w:val="20"/>
        </w:trPr>
        <w:tc>
          <w:tcPr>
            <w:tcW w:w="2875" w:type="pct"/>
            <w:shd w:val="clear" w:color="auto" w:fill="auto"/>
            <w:noWrap/>
            <w:vAlign w:val="bottom"/>
          </w:tcPr>
          <w:p w:rsidR="009C66B9" w:rsidRPr="001B7CD5" w:rsidRDefault="009C66B9" w:rsidP="00704CC0">
            <w:pPr>
              <w:keepNext/>
              <w:keepLines/>
              <w:tabs>
                <w:tab w:val="left" w:pos="567"/>
                <w:tab w:val="left" w:pos="1134"/>
                <w:tab w:val="left" w:pos="1701"/>
                <w:tab w:val="left" w:pos="2268"/>
              </w:tabs>
              <w:ind w:left="567"/>
              <w:rPr>
                <w:rFonts w:cs="Arial"/>
                <w:sz w:val="18"/>
                <w:szCs w:val="18"/>
              </w:rPr>
            </w:pPr>
            <w:r w:rsidRPr="001B7CD5">
              <w:rPr>
                <w:rFonts w:cs="Arial"/>
                <w:sz w:val="18"/>
                <w:szCs w:val="18"/>
              </w:rPr>
              <w:t xml:space="preserve">Loss attributable to Mauritian Entities                                     </w:t>
            </w:r>
          </w:p>
        </w:tc>
        <w:tc>
          <w:tcPr>
            <w:tcW w:w="1000" w:type="pct"/>
            <w:tcBorders>
              <w:top w:val="single" w:sz="4" w:space="0" w:color="auto"/>
            </w:tcBorders>
            <w:shd w:val="clear" w:color="auto" w:fill="auto"/>
            <w:noWrap/>
            <w:vAlign w:val="center"/>
          </w:tcPr>
          <w:p w:rsidR="009C66B9" w:rsidRPr="001B7CD5" w:rsidRDefault="00A9442F" w:rsidP="00704CC0">
            <w:pPr>
              <w:keepNext/>
              <w:keepLines/>
              <w:tabs>
                <w:tab w:val="left" w:pos="567"/>
                <w:tab w:val="left" w:pos="1134"/>
                <w:tab w:val="left" w:pos="1701"/>
                <w:tab w:val="left" w:pos="2268"/>
              </w:tabs>
              <w:jc w:val="right"/>
              <w:rPr>
                <w:rFonts w:cs="Arial"/>
                <w:b/>
                <w:sz w:val="18"/>
                <w:szCs w:val="18"/>
              </w:rPr>
            </w:pPr>
            <w:r w:rsidRPr="001B7CD5">
              <w:rPr>
                <w:rFonts w:cs="Arial"/>
                <w:b/>
                <w:sz w:val="18"/>
                <w:szCs w:val="18"/>
              </w:rPr>
              <w:t>(3,479)</w:t>
            </w:r>
          </w:p>
        </w:tc>
        <w:tc>
          <w:tcPr>
            <w:tcW w:w="125" w:type="pct"/>
            <w:shd w:val="clear" w:color="auto" w:fill="auto"/>
            <w:noWrap/>
            <w:vAlign w:val="center"/>
          </w:tcPr>
          <w:p w:rsidR="009C66B9" w:rsidRPr="001B7CD5" w:rsidRDefault="009C66B9" w:rsidP="00704CC0">
            <w:pPr>
              <w:keepNext/>
              <w:keepLines/>
              <w:tabs>
                <w:tab w:val="left" w:pos="567"/>
                <w:tab w:val="left" w:pos="1134"/>
                <w:tab w:val="left" w:pos="1701"/>
                <w:tab w:val="left" w:pos="2268"/>
              </w:tabs>
              <w:ind w:right="-121"/>
              <w:jc w:val="right"/>
              <w:rPr>
                <w:rFonts w:cs="Arial"/>
                <w:b/>
                <w:sz w:val="18"/>
                <w:szCs w:val="18"/>
              </w:rPr>
            </w:pPr>
          </w:p>
        </w:tc>
        <w:tc>
          <w:tcPr>
            <w:tcW w:w="1000" w:type="pct"/>
            <w:tcBorders>
              <w:top w:val="single" w:sz="4" w:space="0" w:color="auto"/>
            </w:tcBorders>
            <w:vAlign w:val="center"/>
          </w:tcPr>
          <w:p w:rsidR="009C66B9" w:rsidRPr="001B7CD5" w:rsidRDefault="00141AC9" w:rsidP="00704CC0">
            <w:pPr>
              <w:keepNext/>
              <w:keepLines/>
              <w:tabs>
                <w:tab w:val="left" w:pos="567"/>
                <w:tab w:val="left" w:pos="1134"/>
                <w:tab w:val="left" w:pos="1701"/>
                <w:tab w:val="left" w:pos="2268"/>
              </w:tabs>
              <w:jc w:val="right"/>
              <w:rPr>
                <w:rFonts w:cs="Arial"/>
                <w:sz w:val="18"/>
                <w:szCs w:val="18"/>
              </w:rPr>
            </w:pPr>
            <w:r w:rsidRPr="001B7CD5">
              <w:rPr>
                <w:rFonts w:cs="Arial"/>
                <w:sz w:val="18"/>
                <w:szCs w:val="18"/>
              </w:rPr>
              <w:t>(3,901)</w:t>
            </w:r>
          </w:p>
        </w:tc>
      </w:tr>
      <w:tr w:rsidR="00BE28A4" w:rsidRPr="001B7CD5" w:rsidTr="00562F9C">
        <w:trPr>
          <w:trHeight w:val="20"/>
        </w:trPr>
        <w:tc>
          <w:tcPr>
            <w:tcW w:w="2875" w:type="pct"/>
            <w:shd w:val="clear" w:color="auto" w:fill="auto"/>
            <w:noWrap/>
            <w:vAlign w:val="bottom"/>
          </w:tcPr>
          <w:p w:rsidR="00BE28A4" w:rsidRPr="001B7CD5" w:rsidRDefault="00BE28A4" w:rsidP="00704CC0">
            <w:pPr>
              <w:keepNext/>
              <w:keepLines/>
              <w:tabs>
                <w:tab w:val="left" w:pos="567"/>
                <w:tab w:val="left" w:pos="1134"/>
                <w:tab w:val="left" w:pos="1701"/>
                <w:tab w:val="left" w:pos="2268"/>
              </w:tabs>
              <w:ind w:left="567"/>
              <w:rPr>
                <w:rFonts w:cs="Arial"/>
                <w:sz w:val="18"/>
                <w:szCs w:val="18"/>
              </w:rPr>
            </w:pPr>
            <w:r w:rsidRPr="001B7CD5">
              <w:rPr>
                <w:rFonts w:cs="Arial"/>
                <w:sz w:val="18"/>
                <w:szCs w:val="18"/>
              </w:rPr>
              <w:t>Enacted rate for Isle of Man</w:t>
            </w:r>
          </w:p>
        </w:tc>
        <w:tc>
          <w:tcPr>
            <w:tcW w:w="1000" w:type="pct"/>
            <w:shd w:val="clear" w:color="auto" w:fill="auto"/>
            <w:noWrap/>
            <w:vAlign w:val="center"/>
          </w:tcPr>
          <w:p w:rsidR="00BE28A4" w:rsidRPr="001B7CD5" w:rsidRDefault="00BE28A4" w:rsidP="00704CC0">
            <w:pPr>
              <w:keepNext/>
              <w:keepLines/>
              <w:tabs>
                <w:tab w:val="left" w:pos="567"/>
                <w:tab w:val="left" w:pos="1134"/>
                <w:tab w:val="left" w:pos="1701"/>
                <w:tab w:val="left" w:pos="2268"/>
              </w:tabs>
              <w:jc w:val="right"/>
              <w:rPr>
                <w:rFonts w:cs="Arial"/>
                <w:b/>
                <w:sz w:val="18"/>
                <w:szCs w:val="18"/>
              </w:rPr>
            </w:pPr>
            <w:r w:rsidRPr="001B7CD5">
              <w:rPr>
                <w:rFonts w:cs="Arial"/>
                <w:b/>
                <w:sz w:val="18"/>
                <w:szCs w:val="18"/>
              </w:rPr>
              <w:t>0%</w:t>
            </w:r>
          </w:p>
        </w:tc>
        <w:tc>
          <w:tcPr>
            <w:tcW w:w="125" w:type="pct"/>
            <w:shd w:val="clear" w:color="auto" w:fill="auto"/>
            <w:noWrap/>
            <w:vAlign w:val="center"/>
          </w:tcPr>
          <w:p w:rsidR="00BE28A4" w:rsidRPr="001B7CD5" w:rsidRDefault="00BE28A4" w:rsidP="00704CC0">
            <w:pPr>
              <w:keepNext/>
              <w:keepLines/>
              <w:tabs>
                <w:tab w:val="left" w:pos="567"/>
                <w:tab w:val="left" w:pos="1134"/>
                <w:tab w:val="left" w:pos="1701"/>
                <w:tab w:val="left" w:pos="2268"/>
              </w:tabs>
              <w:jc w:val="right"/>
              <w:outlineLvl w:val="1"/>
              <w:rPr>
                <w:rFonts w:cs="Arial"/>
                <w:sz w:val="18"/>
                <w:szCs w:val="18"/>
              </w:rPr>
            </w:pPr>
          </w:p>
        </w:tc>
        <w:tc>
          <w:tcPr>
            <w:tcW w:w="1000" w:type="pct"/>
            <w:vAlign w:val="center"/>
          </w:tcPr>
          <w:p w:rsidR="00BE28A4" w:rsidRPr="001B7CD5" w:rsidRDefault="00141AC9" w:rsidP="00704CC0">
            <w:pPr>
              <w:keepNext/>
              <w:keepLines/>
              <w:tabs>
                <w:tab w:val="left" w:pos="567"/>
                <w:tab w:val="left" w:pos="1134"/>
                <w:tab w:val="left" w:pos="1701"/>
                <w:tab w:val="left" w:pos="2268"/>
              </w:tabs>
              <w:jc w:val="right"/>
              <w:rPr>
                <w:rFonts w:cs="Arial"/>
                <w:sz w:val="18"/>
                <w:szCs w:val="18"/>
              </w:rPr>
            </w:pPr>
            <w:r w:rsidRPr="001B7CD5">
              <w:rPr>
                <w:rFonts w:cs="Arial"/>
                <w:sz w:val="18"/>
                <w:szCs w:val="18"/>
              </w:rPr>
              <w:t>0%</w:t>
            </w:r>
          </w:p>
        </w:tc>
      </w:tr>
      <w:tr w:rsidR="00BE28A4" w:rsidRPr="001B7CD5" w:rsidTr="00562F9C">
        <w:trPr>
          <w:trHeight w:val="20"/>
        </w:trPr>
        <w:tc>
          <w:tcPr>
            <w:tcW w:w="2875" w:type="pct"/>
            <w:shd w:val="clear" w:color="auto" w:fill="auto"/>
            <w:noWrap/>
            <w:vAlign w:val="bottom"/>
          </w:tcPr>
          <w:p w:rsidR="00BE28A4" w:rsidRPr="001B7CD5" w:rsidRDefault="00BE28A4" w:rsidP="00704CC0">
            <w:pPr>
              <w:keepNext/>
              <w:keepLines/>
              <w:tabs>
                <w:tab w:val="left" w:pos="567"/>
                <w:tab w:val="left" w:pos="1134"/>
                <w:tab w:val="left" w:pos="1701"/>
                <w:tab w:val="left" w:pos="2268"/>
              </w:tabs>
              <w:ind w:left="567"/>
              <w:rPr>
                <w:rFonts w:cs="Arial"/>
                <w:sz w:val="18"/>
                <w:szCs w:val="18"/>
              </w:rPr>
            </w:pPr>
            <w:r w:rsidRPr="001B7CD5">
              <w:rPr>
                <w:rFonts w:cs="Arial"/>
                <w:sz w:val="18"/>
                <w:szCs w:val="18"/>
              </w:rPr>
              <w:t>Enacted rate for Mauritius</w:t>
            </w:r>
          </w:p>
        </w:tc>
        <w:tc>
          <w:tcPr>
            <w:tcW w:w="1000" w:type="pct"/>
            <w:shd w:val="clear" w:color="auto" w:fill="auto"/>
            <w:noWrap/>
            <w:vAlign w:val="center"/>
          </w:tcPr>
          <w:p w:rsidR="00BE28A4" w:rsidRPr="001B7CD5" w:rsidRDefault="00BE28A4" w:rsidP="00704CC0">
            <w:pPr>
              <w:keepNext/>
              <w:keepLines/>
              <w:tabs>
                <w:tab w:val="left" w:pos="567"/>
                <w:tab w:val="left" w:pos="1134"/>
                <w:tab w:val="left" w:pos="1701"/>
                <w:tab w:val="left" w:pos="2268"/>
              </w:tabs>
              <w:jc w:val="right"/>
              <w:rPr>
                <w:rFonts w:cs="Arial"/>
                <w:b/>
                <w:sz w:val="18"/>
                <w:szCs w:val="18"/>
              </w:rPr>
            </w:pPr>
            <w:r w:rsidRPr="001B7CD5">
              <w:rPr>
                <w:rFonts w:cs="Arial"/>
                <w:b/>
                <w:sz w:val="18"/>
                <w:szCs w:val="18"/>
              </w:rPr>
              <w:t>15%</w:t>
            </w:r>
          </w:p>
        </w:tc>
        <w:tc>
          <w:tcPr>
            <w:tcW w:w="125" w:type="pct"/>
            <w:shd w:val="clear" w:color="auto" w:fill="auto"/>
            <w:noWrap/>
            <w:vAlign w:val="center"/>
          </w:tcPr>
          <w:p w:rsidR="00BE28A4" w:rsidRPr="001B7CD5" w:rsidRDefault="00BE28A4" w:rsidP="00704CC0">
            <w:pPr>
              <w:keepNext/>
              <w:keepLines/>
              <w:tabs>
                <w:tab w:val="left" w:pos="567"/>
                <w:tab w:val="left" w:pos="1134"/>
                <w:tab w:val="left" w:pos="1701"/>
                <w:tab w:val="left" w:pos="2268"/>
              </w:tabs>
              <w:jc w:val="right"/>
              <w:outlineLvl w:val="1"/>
              <w:rPr>
                <w:rFonts w:cs="Arial"/>
                <w:sz w:val="18"/>
                <w:szCs w:val="18"/>
              </w:rPr>
            </w:pPr>
          </w:p>
        </w:tc>
        <w:tc>
          <w:tcPr>
            <w:tcW w:w="1000" w:type="pct"/>
            <w:vAlign w:val="center"/>
          </w:tcPr>
          <w:p w:rsidR="00BE28A4" w:rsidRPr="001B7CD5" w:rsidRDefault="00141AC9" w:rsidP="00704CC0">
            <w:pPr>
              <w:keepNext/>
              <w:keepLines/>
              <w:tabs>
                <w:tab w:val="left" w:pos="567"/>
                <w:tab w:val="left" w:pos="1134"/>
                <w:tab w:val="left" w:pos="1701"/>
                <w:tab w:val="left" w:pos="2268"/>
              </w:tabs>
              <w:jc w:val="right"/>
              <w:rPr>
                <w:rFonts w:cs="Arial"/>
                <w:sz w:val="18"/>
                <w:szCs w:val="18"/>
              </w:rPr>
            </w:pPr>
            <w:r w:rsidRPr="001B7CD5">
              <w:rPr>
                <w:rFonts w:cs="Arial"/>
                <w:sz w:val="18"/>
                <w:szCs w:val="18"/>
              </w:rPr>
              <w:t>15%</w:t>
            </w:r>
          </w:p>
        </w:tc>
      </w:tr>
      <w:tr w:rsidR="00A9442F" w:rsidRPr="001B7CD5" w:rsidTr="00562F9C">
        <w:trPr>
          <w:trHeight w:val="20"/>
        </w:trPr>
        <w:tc>
          <w:tcPr>
            <w:tcW w:w="2875" w:type="pct"/>
            <w:shd w:val="clear" w:color="auto" w:fill="auto"/>
            <w:noWrap/>
            <w:vAlign w:val="bottom"/>
          </w:tcPr>
          <w:p w:rsidR="00A9442F" w:rsidRPr="001B7CD5" w:rsidRDefault="00A9442F" w:rsidP="00704CC0">
            <w:pPr>
              <w:keepNext/>
              <w:keepLines/>
              <w:tabs>
                <w:tab w:val="left" w:pos="567"/>
                <w:tab w:val="left" w:pos="1134"/>
                <w:tab w:val="left" w:pos="1701"/>
                <w:tab w:val="left" w:pos="2268"/>
              </w:tabs>
              <w:ind w:left="567"/>
              <w:rPr>
                <w:rFonts w:cs="Arial"/>
                <w:sz w:val="18"/>
                <w:szCs w:val="18"/>
              </w:rPr>
            </w:pPr>
            <w:r w:rsidRPr="001B7CD5">
              <w:rPr>
                <w:rFonts w:cs="Arial"/>
                <w:sz w:val="18"/>
                <w:szCs w:val="18"/>
              </w:rPr>
              <w:t>Taxation at standard rate in Isle of Man</w:t>
            </w:r>
          </w:p>
        </w:tc>
        <w:tc>
          <w:tcPr>
            <w:tcW w:w="1000" w:type="pct"/>
            <w:shd w:val="clear" w:color="auto" w:fill="auto"/>
            <w:noWrap/>
            <w:vAlign w:val="center"/>
          </w:tcPr>
          <w:p w:rsidR="00A9442F" w:rsidRPr="001B7CD5" w:rsidRDefault="00A9442F" w:rsidP="00704CC0">
            <w:pPr>
              <w:keepNext/>
              <w:keepLines/>
              <w:tabs>
                <w:tab w:val="left" w:pos="567"/>
                <w:tab w:val="left" w:pos="1134"/>
                <w:tab w:val="left" w:pos="1701"/>
                <w:tab w:val="left" w:pos="2268"/>
              </w:tabs>
              <w:jc w:val="right"/>
              <w:rPr>
                <w:rFonts w:cs="Arial"/>
                <w:sz w:val="18"/>
                <w:szCs w:val="18"/>
              </w:rPr>
            </w:pPr>
            <w:r w:rsidRPr="001B7CD5">
              <w:rPr>
                <w:rFonts w:cs="Arial"/>
                <w:sz w:val="18"/>
                <w:szCs w:val="18"/>
              </w:rPr>
              <w:t>-</w:t>
            </w:r>
          </w:p>
        </w:tc>
        <w:tc>
          <w:tcPr>
            <w:tcW w:w="125" w:type="pct"/>
            <w:shd w:val="clear" w:color="auto" w:fill="auto"/>
            <w:noWrap/>
            <w:vAlign w:val="center"/>
          </w:tcPr>
          <w:p w:rsidR="00A9442F" w:rsidRPr="001B7CD5" w:rsidRDefault="00A9442F" w:rsidP="00704CC0">
            <w:pPr>
              <w:keepNext/>
              <w:keepLines/>
              <w:tabs>
                <w:tab w:val="left" w:pos="567"/>
                <w:tab w:val="left" w:pos="1134"/>
                <w:tab w:val="left" w:pos="1701"/>
                <w:tab w:val="left" w:pos="2268"/>
              </w:tabs>
              <w:jc w:val="right"/>
              <w:rPr>
                <w:rFonts w:cs="Arial"/>
                <w:sz w:val="18"/>
                <w:szCs w:val="18"/>
              </w:rPr>
            </w:pPr>
          </w:p>
        </w:tc>
        <w:tc>
          <w:tcPr>
            <w:tcW w:w="1000" w:type="pct"/>
            <w:vAlign w:val="center"/>
          </w:tcPr>
          <w:p w:rsidR="00A9442F" w:rsidRPr="001B7CD5" w:rsidRDefault="00141AC9" w:rsidP="00704CC0">
            <w:pPr>
              <w:keepNext/>
              <w:keepLines/>
              <w:tabs>
                <w:tab w:val="left" w:pos="567"/>
                <w:tab w:val="left" w:pos="1134"/>
                <w:tab w:val="left" w:pos="1701"/>
                <w:tab w:val="left" w:pos="2268"/>
              </w:tabs>
              <w:jc w:val="right"/>
              <w:rPr>
                <w:rFonts w:cs="Arial"/>
                <w:sz w:val="18"/>
                <w:szCs w:val="18"/>
              </w:rPr>
            </w:pPr>
            <w:r w:rsidRPr="001B7CD5">
              <w:rPr>
                <w:rFonts w:cs="Arial"/>
                <w:sz w:val="18"/>
                <w:szCs w:val="18"/>
              </w:rPr>
              <w:t>-</w:t>
            </w:r>
          </w:p>
        </w:tc>
      </w:tr>
      <w:tr w:rsidR="00A9442F" w:rsidRPr="001B7CD5" w:rsidTr="00562F9C">
        <w:trPr>
          <w:trHeight w:val="20"/>
        </w:trPr>
        <w:tc>
          <w:tcPr>
            <w:tcW w:w="2875" w:type="pct"/>
            <w:shd w:val="clear" w:color="auto" w:fill="auto"/>
            <w:noWrap/>
            <w:vAlign w:val="bottom"/>
          </w:tcPr>
          <w:p w:rsidR="00A9442F" w:rsidRPr="001B7CD5" w:rsidRDefault="00A9442F" w:rsidP="00704CC0">
            <w:pPr>
              <w:keepNext/>
              <w:keepLines/>
              <w:tabs>
                <w:tab w:val="left" w:pos="567"/>
                <w:tab w:val="left" w:pos="1134"/>
                <w:tab w:val="left" w:pos="1701"/>
                <w:tab w:val="left" w:pos="2268"/>
              </w:tabs>
              <w:ind w:left="567"/>
              <w:rPr>
                <w:rFonts w:cs="Arial"/>
                <w:sz w:val="18"/>
                <w:szCs w:val="18"/>
              </w:rPr>
            </w:pPr>
            <w:r w:rsidRPr="001B7CD5">
              <w:rPr>
                <w:rFonts w:cs="Arial"/>
                <w:sz w:val="18"/>
                <w:szCs w:val="18"/>
              </w:rPr>
              <w:t>Taxation at standard rate in Mauritius</w:t>
            </w:r>
          </w:p>
        </w:tc>
        <w:tc>
          <w:tcPr>
            <w:tcW w:w="1000" w:type="pct"/>
            <w:shd w:val="clear" w:color="auto" w:fill="auto"/>
            <w:noWrap/>
            <w:vAlign w:val="center"/>
          </w:tcPr>
          <w:p w:rsidR="00A9442F" w:rsidRPr="001B7CD5" w:rsidRDefault="00A9442F" w:rsidP="00704CC0">
            <w:pPr>
              <w:keepNext/>
              <w:keepLines/>
              <w:tabs>
                <w:tab w:val="left" w:pos="567"/>
                <w:tab w:val="left" w:pos="1134"/>
                <w:tab w:val="left" w:pos="1701"/>
                <w:tab w:val="left" w:pos="2268"/>
              </w:tabs>
              <w:jc w:val="right"/>
              <w:rPr>
                <w:rFonts w:cs="Arial"/>
                <w:b/>
                <w:sz w:val="18"/>
                <w:szCs w:val="18"/>
              </w:rPr>
            </w:pPr>
            <w:r w:rsidRPr="001B7CD5">
              <w:rPr>
                <w:rFonts w:cs="Arial"/>
                <w:b/>
                <w:sz w:val="18"/>
                <w:szCs w:val="18"/>
              </w:rPr>
              <w:t>(522)</w:t>
            </w:r>
          </w:p>
        </w:tc>
        <w:tc>
          <w:tcPr>
            <w:tcW w:w="125" w:type="pct"/>
            <w:shd w:val="clear" w:color="auto" w:fill="auto"/>
            <w:noWrap/>
            <w:vAlign w:val="center"/>
          </w:tcPr>
          <w:p w:rsidR="00A9442F" w:rsidRPr="001B7CD5" w:rsidRDefault="00A9442F" w:rsidP="00704CC0">
            <w:pPr>
              <w:keepNext/>
              <w:keepLines/>
              <w:tabs>
                <w:tab w:val="left" w:pos="567"/>
                <w:tab w:val="left" w:pos="1134"/>
                <w:tab w:val="left" w:pos="1701"/>
                <w:tab w:val="left" w:pos="2268"/>
              </w:tabs>
              <w:jc w:val="right"/>
              <w:rPr>
                <w:rFonts w:cs="Arial"/>
                <w:sz w:val="18"/>
                <w:szCs w:val="18"/>
              </w:rPr>
            </w:pPr>
          </w:p>
        </w:tc>
        <w:tc>
          <w:tcPr>
            <w:tcW w:w="1000" w:type="pct"/>
            <w:vAlign w:val="center"/>
          </w:tcPr>
          <w:p w:rsidR="00A9442F" w:rsidRPr="001B7CD5" w:rsidRDefault="00141AC9" w:rsidP="00704CC0">
            <w:pPr>
              <w:keepNext/>
              <w:keepLines/>
              <w:tabs>
                <w:tab w:val="left" w:pos="567"/>
                <w:tab w:val="left" w:pos="1134"/>
                <w:tab w:val="left" w:pos="1701"/>
                <w:tab w:val="left" w:pos="2268"/>
              </w:tabs>
              <w:jc w:val="right"/>
              <w:rPr>
                <w:rFonts w:cs="Arial"/>
                <w:sz w:val="18"/>
                <w:szCs w:val="18"/>
              </w:rPr>
            </w:pPr>
            <w:r w:rsidRPr="001B7CD5">
              <w:rPr>
                <w:rFonts w:cs="Arial"/>
                <w:sz w:val="18"/>
                <w:szCs w:val="18"/>
              </w:rPr>
              <w:t>(585)</w:t>
            </w:r>
          </w:p>
        </w:tc>
      </w:tr>
      <w:tr w:rsidR="00A9442F" w:rsidRPr="001B7CD5" w:rsidTr="00562F9C">
        <w:trPr>
          <w:trHeight w:val="20"/>
        </w:trPr>
        <w:tc>
          <w:tcPr>
            <w:tcW w:w="2875" w:type="pct"/>
            <w:shd w:val="clear" w:color="auto" w:fill="auto"/>
            <w:noWrap/>
            <w:vAlign w:val="bottom"/>
          </w:tcPr>
          <w:p w:rsidR="00A9442F" w:rsidRPr="001B7CD5" w:rsidRDefault="00A9442F" w:rsidP="00704CC0">
            <w:pPr>
              <w:keepNext/>
              <w:keepLines/>
              <w:tabs>
                <w:tab w:val="left" w:pos="567"/>
                <w:tab w:val="left" w:pos="1134"/>
                <w:tab w:val="left" w:pos="1701"/>
                <w:tab w:val="left" w:pos="2268"/>
              </w:tabs>
              <w:ind w:left="567"/>
              <w:rPr>
                <w:rFonts w:cs="Arial"/>
                <w:sz w:val="18"/>
                <w:szCs w:val="18"/>
              </w:rPr>
            </w:pPr>
            <w:r w:rsidRPr="001B7CD5">
              <w:rPr>
                <w:rFonts w:cs="Arial"/>
                <w:sz w:val="18"/>
                <w:szCs w:val="18"/>
              </w:rPr>
              <w:t>Tax effect of:</w:t>
            </w:r>
          </w:p>
        </w:tc>
        <w:tc>
          <w:tcPr>
            <w:tcW w:w="1000" w:type="pct"/>
            <w:shd w:val="clear" w:color="auto" w:fill="auto"/>
            <w:noWrap/>
            <w:vAlign w:val="center"/>
          </w:tcPr>
          <w:p w:rsidR="00A9442F" w:rsidRPr="001B7CD5" w:rsidRDefault="00A9442F" w:rsidP="00704CC0">
            <w:pPr>
              <w:keepNext/>
              <w:keepLines/>
              <w:tabs>
                <w:tab w:val="left" w:pos="567"/>
                <w:tab w:val="left" w:pos="1134"/>
                <w:tab w:val="left" w:pos="1701"/>
                <w:tab w:val="left" w:pos="2268"/>
              </w:tabs>
              <w:jc w:val="right"/>
              <w:rPr>
                <w:rFonts w:cs="Arial"/>
                <w:b/>
                <w:sz w:val="18"/>
                <w:szCs w:val="18"/>
              </w:rPr>
            </w:pPr>
          </w:p>
        </w:tc>
        <w:tc>
          <w:tcPr>
            <w:tcW w:w="125" w:type="pct"/>
            <w:shd w:val="clear" w:color="auto" w:fill="auto"/>
            <w:noWrap/>
            <w:vAlign w:val="center"/>
          </w:tcPr>
          <w:p w:rsidR="00A9442F" w:rsidRPr="001B7CD5" w:rsidRDefault="00A9442F" w:rsidP="00704CC0">
            <w:pPr>
              <w:keepNext/>
              <w:keepLines/>
              <w:tabs>
                <w:tab w:val="left" w:pos="567"/>
                <w:tab w:val="left" w:pos="1134"/>
                <w:tab w:val="left" w:pos="1701"/>
                <w:tab w:val="left" w:pos="2268"/>
              </w:tabs>
              <w:jc w:val="right"/>
              <w:rPr>
                <w:rFonts w:cs="Arial"/>
                <w:sz w:val="18"/>
                <w:szCs w:val="18"/>
              </w:rPr>
            </w:pPr>
          </w:p>
        </w:tc>
        <w:tc>
          <w:tcPr>
            <w:tcW w:w="1000" w:type="pct"/>
            <w:vAlign w:val="center"/>
          </w:tcPr>
          <w:p w:rsidR="00A9442F" w:rsidRPr="001B7CD5" w:rsidRDefault="00A9442F" w:rsidP="00704CC0">
            <w:pPr>
              <w:keepNext/>
              <w:keepLines/>
              <w:tabs>
                <w:tab w:val="left" w:pos="567"/>
                <w:tab w:val="left" w:pos="1134"/>
                <w:tab w:val="left" w:pos="1701"/>
                <w:tab w:val="left" w:pos="2268"/>
              </w:tabs>
              <w:jc w:val="right"/>
              <w:rPr>
                <w:rFonts w:cs="Arial"/>
                <w:sz w:val="18"/>
                <w:szCs w:val="18"/>
              </w:rPr>
            </w:pPr>
          </w:p>
        </w:tc>
      </w:tr>
      <w:tr w:rsidR="00A9442F" w:rsidRPr="001B7CD5" w:rsidTr="00562F9C">
        <w:trPr>
          <w:trHeight w:val="20"/>
        </w:trPr>
        <w:tc>
          <w:tcPr>
            <w:tcW w:w="2875" w:type="pct"/>
            <w:shd w:val="clear" w:color="auto" w:fill="auto"/>
            <w:noWrap/>
            <w:vAlign w:val="bottom"/>
          </w:tcPr>
          <w:p w:rsidR="00A9442F" w:rsidRPr="001B7CD5" w:rsidRDefault="00A9442F" w:rsidP="00704CC0">
            <w:pPr>
              <w:keepNext/>
              <w:keepLines/>
              <w:tabs>
                <w:tab w:val="left" w:pos="567"/>
                <w:tab w:val="left" w:pos="1134"/>
                <w:tab w:val="left" w:pos="1701"/>
                <w:tab w:val="left" w:pos="2268"/>
              </w:tabs>
              <w:ind w:left="567"/>
              <w:rPr>
                <w:rFonts w:cs="Arial"/>
                <w:sz w:val="18"/>
                <w:szCs w:val="18"/>
              </w:rPr>
            </w:pPr>
            <w:r w:rsidRPr="001B7CD5">
              <w:rPr>
                <w:rFonts w:cs="Arial"/>
                <w:sz w:val="18"/>
                <w:szCs w:val="18"/>
              </w:rPr>
              <w:t>Exempt income</w:t>
            </w:r>
          </w:p>
        </w:tc>
        <w:tc>
          <w:tcPr>
            <w:tcW w:w="1000" w:type="pct"/>
            <w:shd w:val="clear" w:color="auto" w:fill="auto"/>
            <w:noWrap/>
          </w:tcPr>
          <w:p w:rsidR="00A9442F" w:rsidRPr="001B7CD5" w:rsidRDefault="00A9442F" w:rsidP="00704CC0">
            <w:pPr>
              <w:keepNext/>
              <w:keepLines/>
              <w:tabs>
                <w:tab w:val="left" w:pos="567"/>
                <w:tab w:val="left" w:pos="1134"/>
                <w:tab w:val="left" w:pos="1701"/>
                <w:tab w:val="left" w:pos="2268"/>
              </w:tabs>
              <w:jc w:val="right"/>
              <w:rPr>
                <w:rFonts w:cs="Arial"/>
                <w:b/>
                <w:sz w:val="18"/>
                <w:szCs w:val="18"/>
              </w:rPr>
            </w:pPr>
            <w:r w:rsidRPr="001B7CD5">
              <w:rPr>
                <w:rFonts w:cs="Arial"/>
                <w:b/>
                <w:sz w:val="18"/>
                <w:szCs w:val="18"/>
              </w:rPr>
              <w:t>(3)</w:t>
            </w:r>
          </w:p>
        </w:tc>
        <w:tc>
          <w:tcPr>
            <w:tcW w:w="125" w:type="pct"/>
            <w:shd w:val="clear" w:color="auto" w:fill="auto"/>
            <w:noWrap/>
            <w:vAlign w:val="center"/>
          </w:tcPr>
          <w:p w:rsidR="00A9442F" w:rsidRPr="001B7CD5" w:rsidRDefault="00A9442F" w:rsidP="00704CC0">
            <w:pPr>
              <w:keepNext/>
              <w:keepLines/>
              <w:tabs>
                <w:tab w:val="left" w:pos="567"/>
                <w:tab w:val="left" w:pos="1134"/>
                <w:tab w:val="left" w:pos="1701"/>
                <w:tab w:val="left" w:pos="2268"/>
              </w:tabs>
              <w:jc w:val="right"/>
              <w:rPr>
                <w:rFonts w:cs="Arial"/>
                <w:sz w:val="18"/>
                <w:szCs w:val="18"/>
              </w:rPr>
            </w:pPr>
          </w:p>
        </w:tc>
        <w:tc>
          <w:tcPr>
            <w:tcW w:w="1000" w:type="pct"/>
          </w:tcPr>
          <w:p w:rsidR="00A9442F" w:rsidRPr="001B7CD5" w:rsidRDefault="00141AC9" w:rsidP="00704CC0">
            <w:pPr>
              <w:keepNext/>
              <w:keepLines/>
              <w:tabs>
                <w:tab w:val="left" w:pos="567"/>
                <w:tab w:val="left" w:pos="1134"/>
                <w:tab w:val="left" w:pos="1701"/>
                <w:tab w:val="left" w:pos="2268"/>
              </w:tabs>
              <w:jc w:val="right"/>
              <w:rPr>
                <w:rFonts w:cs="Arial"/>
                <w:sz w:val="18"/>
                <w:szCs w:val="18"/>
              </w:rPr>
            </w:pPr>
            <w:r w:rsidRPr="001B7CD5">
              <w:rPr>
                <w:rFonts w:cs="Arial"/>
                <w:sz w:val="18"/>
                <w:szCs w:val="18"/>
              </w:rPr>
              <w:t>(1)</w:t>
            </w:r>
          </w:p>
        </w:tc>
      </w:tr>
      <w:tr w:rsidR="00A9442F" w:rsidRPr="001B7CD5" w:rsidTr="00562F9C">
        <w:trPr>
          <w:trHeight w:val="20"/>
        </w:trPr>
        <w:tc>
          <w:tcPr>
            <w:tcW w:w="2875" w:type="pct"/>
            <w:shd w:val="clear" w:color="auto" w:fill="auto"/>
            <w:noWrap/>
            <w:vAlign w:val="bottom"/>
          </w:tcPr>
          <w:p w:rsidR="00A9442F" w:rsidRPr="001B7CD5" w:rsidRDefault="00A9442F" w:rsidP="00704CC0">
            <w:pPr>
              <w:keepNext/>
              <w:keepLines/>
              <w:tabs>
                <w:tab w:val="left" w:pos="567"/>
                <w:tab w:val="left" w:pos="1134"/>
                <w:tab w:val="left" w:pos="1701"/>
                <w:tab w:val="left" w:pos="2268"/>
              </w:tabs>
              <w:ind w:left="567"/>
              <w:rPr>
                <w:rFonts w:cs="Arial"/>
                <w:sz w:val="18"/>
                <w:szCs w:val="18"/>
              </w:rPr>
            </w:pPr>
            <w:r w:rsidRPr="001B7CD5">
              <w:rPr>
                <w:rFonts w:cs="Arial"/>
                <w:sz w:val="18"/>
                <w:szCs w:val="18"/>
              </w:rPr>
              <w:t>Non-taxable items</w:t>
            </w:r>
          </w:p>
        </w:tc>
        <w:tc>
          <w:tcPr>
            <w:tcW w:w="1000" w:type="pct"/>
            <w:shd w:val="clear" w:color="auto" w:fill="auto"/>
            <w:noWrap/>
          </w:tcPr>
          <w:p w:rsidR="00A9442F" w:rsidRPr="001B7CD5" w:rsidRDefault="00A9442F" w:rsidP="00704CC0">
            <w:pPr>
              <w:keepNext/>
              <w:keepLines/>
              <w:tabs>
                <w:tab w:val="left" w:pos="567"/>
                <w:tab w:val="left" w:pos="1134"/>
                <w:tab w:val="left" w:pos="1701"/>
                <w:tab w:val="left" w:pos="2268"/>
              </w:tabs>
              <w:jc w:val="right"/>
              <w:rPr>
                <w:rFonts w:cs="Arial"/>
                <w:b/>
                <w:sz w:val="18"/>
                <w:szCs w:val="18"/>
              </w:rPr>
            </w:pPr>
            <w:r w:rsidRPr="001B7CD5">
              <w:rPr>
                <w:rFonts w:cs="Arial"/>
                <w:b/>
                <w:sz w:val="18"/>
                <w:szCs w:val="18"/>
              </w:rPr>
              <w:t>452</w:t>
            </w:r>
          </w:p>
        </w:tc>
        <w:tc>
          <w:tcPr>
            <w:tcW w:w="125" w:type="pct"/>
            <w:shd w:val="clear" w:color="auto" w:fill="auto"/>
            <w:noWrap/>
            <w:vAlign w:val="center"/>
          </w:tcPr>
          <w:p w:rsidR="00A9442F" w:rsidRPr="001B7CD5" w:rsidRDefault="00A9442F" w:rsidP="00704CC0">
            <w:pPr>
              <w:keepNext/>
              <w:keepLines/>
              <w:tabs>
                <w:tab w:val="left" w:pos="567"/>
                <w:tab w:val="left" w:pos="1134"/>
                <w:tab w:val="left" w:pos="1701"/>
                <w:tab w:val="left" w:pos="2268"/>
              </w:tabs>
              <w:jc w:val="right"/>
              <w:rPr>
                <w:rFonts w:cs="Arial"/>
                <w:sz w:val="18"/>
                <w:szCs w:val="18"/>
              </w:rPr>
            </w:pPr>
          </w:p>
        </w:tc>
        <w:tc>
          <w:tcPr>
            <w:tcW w:w="1000" w:type="pct"/>
          </w:tcPr>
          <w:p w:rsidR="00A9442F" w:rsidRPr="001B7CD5" w:rsidRDefault="00141AC9" w:rsidP="00704CC0">
            <w:pPr>
              <w:keepNext/>
              <w:keepLines/>
              <w:tabs>
                <w:tab w:val="left" w:pos="567"/>
                <w:tab w:val="left" w:pos="1134"/>
                <w:tab w:val="left" w:pos="1701"/>
                <w:tab w:val="left" w:pos="2268"/>
              </w:tabs>
              <w:jc w:val="right"/>
              <w:rPr>
                <w:rFonts w:cs="Arial"/>
                <w:sz w:val="18"/>
                <w:szCs w:val="18"/>
              </w:rPr>
            </w:pPr>
            <w:r w:rsidRPr="001B7CD5">
              <w:rPr>
                <w:rFonts w:cs="Arial"/>
                <w:sz w:val="18"/>
                <w:szCs w:val="18"/>
              </w:rPr>
              <w:t>482</w:t>
            </w:r>
          </w:p>
        </w:tc>
      </w:tr>
      <w:tr w:rsidR="00A9442F" w:rsidRPr="001B7CD5" w:rsidTr="00562F9C">
        <w:trPr>
          <w:trHeight w:val="20"/>
        </w:trPr>
        <w:tc>
          <w:tcPr>
            <w:tcW w:w="2875" w:type="pct"/>
            <w:shd w:val="clear" w:color="auto" w:fill="auto"/>
            <w:noWrap/>
            <w:vAlign w:val="bottom"/>
          </w:tcPr>
          <w:p w:rsidR="00A9442F" w:rsidRPr="001B7CD5" w:rsidRDefault="00A9442F" w:rsidP="00704CC0">
            <w:pPr>
              <w:keepNext/>
              <w:keepLines/>
              <w:tabs>
                <w:tab w:val="left" w:pos="567"/>
                <w:tab w:val="left" w:pos="1134"/>
                <w:tab w:val="left" w:pos="1701"/>
                <w:tab w:val="left" w:pos="2268"/>
              </w:tabs>
              <w:ind w:left="567"/>
              <w:rPr>
                <w:rFonts w:cs="Arial"/>
                <w:sz w:val="18"/>
                <w:szCs w:val="18"/>
              </w:rPr>
            </w:pPr>
            <w:proofErr w:type="spellStart"/>
            <w:r w:rsidRPr="001B7CD5">
              <w:rPr>
                <w:rFonts w:cs="Arial"/>
                <w:sz w:val="18"/>
                <w:szCs w:val="18"/>
              </w:rPr>
              <w:t>Unutilised</w:t>
            </w:r>
            <w:proofErr w:type="spellEnd"/>
            <w:r w:rsidRPr="001B7CD5">
              <w:rPr>
                <w:rFonts w:cs="Arial"/>
                <w:sz w:val="18"/>
                <w:szCs w:val="18"/>
              </w:rPr>
              <w:t xml:space="preserve"> tax loss for the </w:t>
            </w:r>
            <w:r w:rsidR="00CE28B3" w:rsidRPr="001B7CD5">
              <w:rPr>
                <w:rFonts w:cs="Arial"/>
                <w:sz w:val="18"/>
                <w:szCs w:val="18"/>
              </w:rPr>
              <w:t>year</w:t>
            </w:r>
          </w:p>
        </w:tc>
        <w:tc>
          <w:tcPr>
            <w:tcW w:w="1000" w:type="pct"/>
            <w:shd w:val="clear" w:color="auto" w:fill="auto"/>
            <w:noWrap/>
          </w:tcPr>
          <w:p w:rsidR="00A9442F" w:rsidRPr="001B7CD5" w:rsidRDefault="00A9442F" w:rsidP="00704CC0">
            <w:pPr>
              <w:keepNext/>
              <w:keepLines/>
              <w:tabs>
                <w:tab w:val="left" w:pos="567"/>
                <w:tab w:val="left" w:pos="1134"/>
                <w:tab w:val="left" w:pos="1701"/>
                <w:tab w:val="left" w:pos="2268"/>
              </w:tabs>
              <w:jc w:val="right"/>
              <w:rPr>
                <w:rFonts w:cs="Arial"/>
                <w:b/>
                <w:sz w:val="18"/>
                <w:szCs w:val="18"/>
              </w:rPr>
            </w:pPr>
            <w:r w:rsidRPr="001B7CD5">
              <w:rPr>
                <w:rFonts w:cs="Arial"/>
                <w:b/>
                <w:sz w:val="18"/>
                <w:szCs w:val="18"/>
              </w:rPr>
              <w:t>15</w:t>
            </w:r>
          </w:p>
        </w:tc>
        <w:tc>
          <w:tcPr>
            <w:tcW w:w="125" w:type="pct"/>
            <w:shd w:val="clear" w:color="auto" w:fill="auto"/>
            <w:noWrap/>
            <w:vAlign w:val="center"/>
          </w:tcPr>
          <w:p w:rsidR="00A9442F" w:rsidRPr="001B7CD5" w:rsidRDefault="00A9442F" w:rsidP="00704CC0">
            <w:pPr>
              <w:keepNext/>
              <w:keepLines/>
              <w:tabs>
                <w:tab w:val="left" w:pos="567"/>
                <w:tab w:val="left" w:pos="1134"/>
                <w:tab w:val="left" w:pos="1701"/>
                <w:tab w:val="left" w:pos="2268"/>
              </w:tabs>
              <w:jc w:val="right"/>
              <w:rPr>
                <w:rFonts w:cs="Arial"/>
                <w:sz w:val="18"/>
                <w:szCs w:val="18"/>
              </w:rPr>
            </w:pPr>
          </w:p>
        </w:tc>
        <w:tc>
          <w:tcPr>
            <w:tcW w:w="1000" w:type="pct"/>
          </w:tcPr>
          <w:p w:rsidR="00A9442F" w:rsidRPr="001B7CD5" w:rsidRDefault="00141AC9" w:rsidP="00704CC0">
            <w:pPr>
              <w:keepNext/>
              <w:keepLines/>
              <w:tabs>
                <w:tab w:val="left" w:pos="567"/>
                <w:tab w:val="left" w:pos="1134"/>
                <w:tab w:val="left" w:pos="1701"/>
                <w:tab w:val="left" w:pos="2268"/>
              </w:tabs>
              <w:jc w:val="right"/>
              <w:rPr>
                <w:rFonts w:cs="Arial"/>
                <w:sz w:val="18"/>
                <w:szCs w:val="18"/>
              </w:rPr>
            </w:pPr>
            <w:r w:rsidRPr="001B7CD5">
              <w:rPr>
                <w:rFonts w:cs="Arial"/>
                <w:sz w:val="18"/>
                <w:szCs w:val="18"/>
              </w:rPr>
              <w:t>21</w:t>
            </w:r>
          </w:p>
        </w:tc>
      </w:tr>
      <w:tr w:rsidR="00A9442F" w:rsidRPr="001B7CD5" w:rsidTr="00562F9C">
        <w:trPr>
          <w:trHeight w:val="20"/>
        </w:trPr>
        <w:tc>
          <w:tcPr>
            <w:tcW w:w="2875" w:type="pct"/>
            <w:shd w:val="clear" w:color="auto" w:fill="auto"/>
            <w:noWrap/>
            <w:vAlign w:val="bottom"/>
          </w:tcPr>
          <w:p w:rsidR="00A9442F" w:rsidRPr="001B7CD5" w:rsidRDefault="00A9442F" w:rsidP="00704CC0">
            <w:pPr>
              <w:keepNext/>
              <w:keepLines/>
              <w:tabs>
                <w:tab w:val="left" w:pos="567"/>
                <w:tab w:val="left" w:pos="1134"/>
                <w:tab w:val="left" w:pos="1701"/>
                <w:tab w:val="left" w:pos="2268"/>
              </w:tabs>
              <w:ind w:left="567"/>
              <w:rPr>
                <w:rFonts w:cs="Arial"/>
                <w:sz w:val="18"/>
                <w:szCs w:val="18"/>
              </w:rPr>
            </w:pPr>
            <w:r w:rsidRPr="001B7CD5">
              <w:rPr>
                <w:rFonts w:cs="Arial"/>
                <w:sz w:val="18"/>
                <w:szCs w:val="18"/>
              </w:rPr>
              <w:t>Foreign tax credit</w:t>
            </w:r>
          </w:p>
        </w:tc>
        <w:tc>
          <w:tcPr>
            <w:tcW w:w="1000" w:type="pct"/>
            <w:tcBorders>
              <w:bottom w:val="single" w:sz="4" w:space="0" w:color="auto"/>
            </w:tcBorders>
            <w:shd w:val="clear" w:color="auto" w:fill="auto"/>
            <w:noWrap/>
          </w:tcPr>
          <w:p w:rsidR="00A9442F" w:rsidRPr="001B7CD5" w:rsidRDefault="00A9442F" w:rsidP="00704CC0">
            <w:pPr>
              <w:keepNext/>
              <w:keepLines/>
              <w:tabs>
                <w:tab w:val="left" w:pos="567"/>
                <w:tab w:val="left" w:pos="1134"/>
                <w:tab w:val="left" w:pos="1701"/>
                <w:tab w:val="left" w:pos="2268"/>
              </w:tabs>
              <w:jc w:val="right"/>
              <w:rPr>
                <w:rFonts w:cs="Arial"/>
                <w:b/>
                <w:sz w:val="18"/>
                <w:szCs w:val="18"/>
              </w:rPr>
            </w:pPr>
            <w:r w:rsidRPr="001B7CD5">
              <w:rPr>
                <w:rFonts w:cs="Arial"/>
                <w:b/>
                <w:sz w:val="18"/>
                <w:szCs w:val="18"/>
              </w:rPr>
              <w:t>58</w:t>
            </w:r>
          </w:p>
        </w:tc>
        <w:tc>
          <w:tcPr>
            <w:tcW w:w="125" w:type="pct"/>
            <w:shd w:val="clear" w:color="auto" w:fill="auto"/>
            <w:noWrap/>
            <w:vAlign w:val="center"/>
          </w:tcPr>
          <w:p w:rsidR="00A9442F" w:rsidRPr="001B7CD5" w:rsidRDefault="00A9442F" w:rsidP="00704CC0">
            <w:pPr>
              <w:keepNext/>
              <w:keepLines/>
              <w:tabs>
                <w:tab w:val="left" w:pos="567"/>
                <w:tab w:val="left" w:pos="1134"/>
                <w:tab w:val="left" w:pos="1701"/>
                <w:tab w:val="left" w:pos="2268"/>
              </w:tabs>
              <w:jc w:val="right"/>
              <w:rPr>
                <w:rFonts w:cs="Arial"/>
                <w:sz w:val="18"/>
                <w:szCs w:val="18"/>
              </w:rPr>
            </w:pPr>
          </w:p>
        </w:tc>
        <w:tc>
          <w:tcPr>
            <w:tcW w:w="1000" w:type="pct"/>
            <w:tcBorders>
              <w:bottom w:val="single" w:sz="4" w:space="0" w:color="auto"/>
            </w:tcBorders>
          </w:tcPr>
          <w:p w:rsidR="00A9442F" w:rsidRPr="001B7CD5" w:rsidRDefault="00141AC9" w:rsidP="00704CC0">
            <w:pPr>
              <w:keepNext/>
              <w:keepLines/>
              <w:tabs>
                <w:tab w:val="left" w:pos="567"/>
                <w:tab w:val="left" w:pos="1134"/>
                <w:tab w:val="left" w:pos="1701"/>
                <w:tab w:val="left" w:pos="2268"/>
              </w:tabs>
              <w:jc w:val="right"/>
              <w:rPr>
                <w:rFonts w:cs="Arial"/>
                <w:sz w:val="18"/>
                <w:szCs w:val="18"/>
              </w:rPr>
            </w:pPr>
            <w:r w:rsidRPr="001B7CD5">
              <w:rPr>
                <w:rFonts w:cs="Arial"/>
                <w:sz w:val="18"/>
                <w:szCs w:val="18"/>
              </w:rPr>
              <w:t>83</w:t>
            </w:r>
          </w:p>
        </w:tc>
      </w:tr>
      <w:tr w:rsidR="00A9442F" w:rsidRPr="001B7CD5" w:rsidTr="00562F9C">
        <w:trPr>
          <w:trHeight w:val="20"/>
        </w:trPr>
        <w:tc>
          <w:tcPr>
            <w:tcW w:w="2875" w:type="pct"/>
            <w:shd w:val="clear" w:color="auto" w:fill="auto"/>
            <w:noWrap/>
            <w:vAlign w:val="bottom"/>
          </w:tcPr>
          <w:p w:rsidR="00A9442F" w:rsidRPr="001B7CD5" w:rsidRDefault="00A9442F" w:rsidP="00704CC0">
            <w:pPr>
              <w:tabs>
                <w:tab w:val="left" w:pos="567"/>
                <w:tab w:val="left" w:pos="1134"/>
                <w:tab w:val="left" w:pos="1701"/>
                <w:tab w:val="left" w:pos="2268"/>
              </w:tabs>
              <w:ind w:left="567"/>
              <w:rPr>
                <w:rFonts w:cs="Arial"/>
                <w:b/>
                <w:sz w:val="18"/>
                <w:szCs w:val="18"/>
              </w:rPr>
            </w:pPr>
            <w:r w:rsidRPr="001B7CD5">
              <w:rPr>
                <w:rFonts w:cs="Arial"/>
                <w:b/>
                <w:sz w:val="18"/>
                <w:szCs w:val="18"/>
              </w:rPr>
              <w:t>Income tax charge</w:t>
            </w:r>
          </w:p>
        </w:tc>
        <w:tc>
          <w:tcPr>
            <w:tcW w:w="1000" w:type="pct"/>
            <w:tcBorders>
              <w:top w:val="single" w:sz="4" w:space="0" w:color="auto"/>
              <w:bottom w:val="single" w:sz="4" w:space="0" w:color="auto"/>
            </w:tcBorders>
            <w:shd w:val="clear" w:color="auto" w:fill="auto"/>
            <w:noWrap/>
            <w:vAlign w:val="center"/>
          </w:tcPr>
          <w:p w:rsidR="00A9442F" w:rsidRPr="001B7CD5" w:rsidRDefault="00A9442F" w:rsidP="00704CC0">
            <w:pPr>
              <w:tabs>
                <w:tab w:val="left" w:pos="567"/>
                <w:tab w:val="left" w:pos="1134"/>
                <w:tab w:val="left" w:pos="1701"/>
                <w:tab w:val="left" w:pos="2268"/>
              </w:tabs>
              <w:jc w:val="right"/>
              <w:rPr>
                <w:rFonts w:cs="Arial"/>
                <w:sz w:val="18"/>
                <w:szCs w:val="18"/>
              </w:rPr>
            </w:pPr>
            <w:r w:rsidRPr="001B7CD5">
              <w:rPr>
                <w:rFonts w:cs="Arial"/>
                <w:sz w:val="18"/>
                <w:szCs w:val="18"/>
              </w:rPr>
              <w:t>-</w:t>
            </w:r>
          </w:p>
        </w:tc>
        <w:tc>
          <w:tcPr>
            <w:tcW w:w="125" w:type="pct"/>
            <w:shd w:val="clear" w:color="auto" w:fill="auto"/>
            <w:noWrap/>
            <w:vAlign w:val="center"/>
          </w:tcPr>
          <w:p w:rsidR="00A9442F" w:rsidRPr="001B7CD5" w:rsidRDefault="00A9442F" w:rsidP="00704CC0">
            <w:pPr>
              <w:tabs>
                <w:tab w:val="left" w:pos="567"/>
                <w:tab w:val="left" w:pos="1134"/>
                <w:tab w:val="left" w:pos="1701"/>
                <w:tab w:val="left" w:pos="2268"/>
              </w:tabs>
              <w:jc w:val="right"/>
              <w:rPr>
                <w:rFonts w:cs="Arial"/>
                <w:b/>
                <w:sz w:val="18"/>
                <w:szCs w:val="18"/>
              </w:rPr>
            </w:pPr>
          </w:p>
        </w:tc>
        <w:tc>
          <w:tcPr>
            <w:tcW w:w="1000" w:type="pct"/>
            <w:tcBorders>
              <w:top w:val="single" w:sz="4" w:space="0" w:color="auto"/>
              <w:bottom w:val="single" w:sz="4" w:space="0" w:color="auto"/>
            </w:tcBorders>
            <w:vAlign w:val="center"/>
          </w:tcPr>
          <w:p w:rsidR="00A9442F" w:rsidRPr="001B7CD5" w:rsidRDefault="00141AC9" w:rsidP="00704CC0">
            <w:pPr>
              <w:tabs>
                <w:tab w:val="left" w:pos="567"/>
                <w:tab w:val="left" w:pos="1134"/>
                <w:tab w:val="left" w:pos="1701"/>
                <w:tab w:val="left" w:pos="2268"/>
              </w:tabs>
              <w:jc w:val="right"/>
              <w:rPr>
                <w:rFonts w:cs="Arial"/>
                <w:sz w:val="18"/>
                <w:szCs w:val="18"/>
              </w:rPr>
            </w:pPr>
            <w:r w:rsidRPr="001B7CD5">
              <w:rPr>
                <w:rFonts w:cs="Arial"/>
                <w:sz w:val="18"/>
                <w:szCs w:val="18"/>
              </w:rPr>
              <w:t>-</w:t>
            </w:r>
          </w:p>
        </w:tc>
      </w:tr>
    </w:tbl>
    <w:p w:rsidR="00863596" w:rsidRPr="001B7CD5" w:rsidRDefault="0092140F" w:rsidP="00704CC0">
      <w:pPr>
        <w:keepNext/>
        <w:keepLines/>
        <w:numPr>
          <w:ilvl w:val="0"/>
          <w:numId w:val="4"/>
        </w:numPr>
        <w:tabs>
          <w:tab w:val="clear" w:pos="810"/>
          <w:tab w:val="left" w:pos="567"/>
          <w:tab w:val="left" w:pos="1134"/>
          <w:tab w:val="left" w:pos="1701"/>
          <w:tab w:val="left" w:pos="2268"/>
        </w:tabs>
        <w:spacing w:before="240" w:after="120"/>
        <w:ind w:left="567" w:hanging="567"/>
        <w:rPr>
          <w:rFonts w:cs="Arial"/>
          <w:b/>
        </w:rPr>
      </w:pPr>
      <w:r w:rsidRPr="001B7CD5">
        <w:rPr>
          <w:rFonts w:cs="Arial"/>
          <w:b/>
        </w:rPr>
        <w:t>Investments in subsidiaries (Company Statement of Financial Position)</w:t>
      </w:r>
    </w:p>
    <w:tbl>
      <w:tblPr>
        <w:tblW w:w="8953" w:type="dxa"/>
        <w:tblLayout w:type="fixed"/>
        <w:tblCellMar>
          <w:top w:w="28" w:type="dxa"/>
          <w:left w:w="57" w:type="dxa"/>
          <w:bottom w:w="28" w:type="dxa"/>
          <w:right w:w="57" w:type="dxa"/>
        </w:tblCellMar>
        <w:tblLook w:val="0000"/>
      </w:tblPr>
      <w:tblGrid>
        <w:gridCol w:w="4476"/>
        <w:gridCol w:w="671"/>
        <w:gridCol w:w="1791"/>
        <w:gridCol w:w="224"/>
        <w:gridCol w:w="1791"/>
      </w:tblGrid>
      <w:tr w:rsidR="0092140F" w:rsidRPr="001B7CD5" w:rsidTr="00562F9C">
        <w:trPr>
          <w:trHeight w:val="20"/>
          <w:tblHeader/>
        </w:trPr>
        <w:tc>
          <w:tcPr>
            <w:tcW w:w="2500" w:type="pct"/>
            <w:shd w:val="clear" w:color="auto" w:fill="auto"/>
            <w:noWrap/>
            <w:vAlign w:val="bottom"/>
          </w:tcPr>
          <w:p w:rsidR="0092140F" w:rsidRPr="001B7CD5" w:rsidRDefault="0092140F" w:rsidP="00704CC0">
            <w:pPr>
              <w:keepNext/>
              <w:keepLines/>
              <w:tabs>
                <w:tab w:val="left" w:pos="567"/>
                <w:tab w:val="left" w:pos="1134"/>
                <w:tab w:val="left" w:pos="1701"/>
                <w:tab w:val="left" w:pos="2268"/>
              </w:tabs>
              <w:ind w:left="567"/>
              <w:rPr>
                <w:rFonts w:cs="Arial"/>
                <w:b/>
                <w:sz w:val="18"/>
                <w:szCs w:val="18"/>
              </w:rPr>
            </w:pPr>
            <w:r w:rsidRPr="001B7CD5">
              <w:rPr>
                <w:rFonts w:cs="Arial"/>
                <w:b/>
                <w:sz w:val="18"/>
                <w:szCs w:val="18"/>
              </w:rPr>
              <w:t>Particulars</w:t>
            </w:r>
          </w:p>
        </w:tc>
        <w:tc>
          <w:tcPr>
            <w:tcW w:w="375" w:type="pct"/>
            <w:shd w:val="clear" w:color="auto" w:fill="auto"/>
            <w:noWrap/>
            <w:vAlign w:val="bottom"/>
          </w:tcPr>
          <w:p w:rsidR="0092140F" w:rsidRPr="001B7CD5" w:rsidRDefault="0092140F" w:rsidP="00704CC0">
            <w:pPr>
              <w:tabs>
                <w:tab w:val="left" w:pos="567"/>
                <w:tab w:val="left" w:pos="1134"/>
                <w:tab w:val="left" w:pos="1701"/>
                <w:tab w:val="left" w:pos="2268"/>
              </w:tabs>
              <w:rPr>
                <w:rFonts w:cs="Arial"/>
                <w:b/>
                <w:sz w:val="18"/>
                <w:szCs w:val="18"/>
              </w:rPr>
            </w:pPr>
          </w:p>
        </w:tc>
        <w:tc>
          <w:tcPr>
            <w:tcW w:w="1000" w:type="pct"/>
            <w:shd w:val="clear" w:color="auto" w:fill="auto"/>
            <w:noWrap/>
            <w:vAlign w:val="bottom"/>
          </w:tcPr>
          <w:p w:rsidR="0092140F" w:rsidRDefault="0092140F" w:rsidP="00704CC0">
            <w:pPr>
              <w:tabs>
                <w:tab w:val="left" w:pos="567"/>
                <w:tab w:val="left" w:pos="1134"/>
                <w:tab w:val="left" w:pos="1701"/>
                <w:tab w:val="left" w:pos="2268"/>
              </w:tabs>
              <w:jc w:val="right"/>
              <w:rPr>
                <w:rFonts w:cs="Arial"/>
                <w:b/>
                <w:sz w:val="18"/>
                <w:szCs w:val="18"/>
              </w:rPr>
            </w:pPr>
            <w:r w:rsidRPr="001B7CD5">
              <w:rPr>
                <w:rFonts w:cs="Arial"/>
                <w:b/>
                <w:sz w:val="18"/>
                <w:szCs w:val="18"/>
              </w:rPr>
              <w:t>201</w:t>
            </w:r>
            <w:r w:rsidR="00BE28A4" w:rsidRPr="001B7CD5">
              <w:rPr>
                <w:rFonts w:cs="Arial"/>
                <w:b/>
                <w:sz w:val="18"/>
                <w:szCs w:val="18"/>
              </w:rPr>
              <w:t>3</w:t>
            </w:r>
          </w:p>
          <w:p w:rsidR="00130F0B" w:rsidRPr="001B7CD5" w:rsidRDefault="00130F0B" w:rsidP="00704CC0">
            <w:pPr>
              <w:tabs>
                <w:tab w:val="left" w:pos="567"/>
                <w:tab w:val="left" w:pos="1134"/>
                <w:tab w:val="left" w:pos="1701"/>
                <w:tab w:val="left" w:pos="2268"/>
              </w:tabs>
              <w:jc w:val="right"/>
              <w:rPr>
                <w:rFonts w:cs="Arial"/>
                <w:b/>
                <w:sz w:val="18"/>
                <w:szCs w:val="18"/>
              </w:rPr>
            </w:pPr>
            <w:r>
              <w:rPr>
                <w:rFonts w:cs="Arial"/>
                <w:b/>
                <w:sz w:val="18"/>
                <w:szCs w:val="18"/>
              </w:rPr>
              <w:t>£'000</w:t>
            </w:r>
          </w:p>
        </w:tc>
        <w:tc>
          <w:tcPr>
            <w:tcW w:w="125" w:type="pct"/>
            <w:shd w:val="clear" w:color="auto" w:fill="auto"/>
            <w:noWrap/>
            <w:vAlign w:val="bottom"/>
          </w:tcPr>
          <w:p w:rsidR="0092140F" w:rsidRPr="001B7CD5" w:rsidRDefault="0092140F" w:rsidP="00704CC0">
            <w:pPr>
              <w:tabs>
                <w:tab w:val="left" w:pos="567"/>
                <w:tab w:val="left" w:pos="1134"/>
                <w:tab w:val="left" w:pos="1701"/>
                <w:tab w:val="left" w:pos="2268"/>
              </w:tabs>
              <w:jc w:val="right"/>
              <w:rPr>
                <w:rFonts w:cs="Arial"/>
                <w:b/>
                <w:sz w:val="18"/>
                <w:szCs w:val="18"/>
              </w:rPr>
            </w:pPr>
          </w:p>
        </w:tc>
        <w:tc>
          <w:tcPr>
            <w:tcW w:w="1000" w:type="pct"/>
            <w:shd w:val="clear" w:color="auto" w:fill="auto"/>
            <w:noWrap/>
            <w:vAlign w:val="bottom"/>
          </w:tcPr>
          <w:p w:rsidR="00D25E17" w:rsidRPr="001B7CD5" w:rsidRDefault="00D25E17" w:rsidP="00704CC0">
            <w:pPr>
              <w:tabs>
                <w:tab w:val="left" w:pos="567"/>
                <w:tab w:val="left" w:pos="1134"/>
                <w:tab w:val="left" w:pos="1701"/>
                <w:tab w:val="left" w:pos="2268"/>
              </w:tabs>
              <w:jc w:val="right"/>
              <w:rPr>
                <w:rFonts w:cs="Arial"/>
                <w:sz w:val="18"/>
                <w:szCs w:val="18"/>
              </w:rPr>
            </w:pPr>
            <w:r w:rsidRPr="001B7CD5">
              <w:rPr>
                <w:rFonts w:cs="Arial"/>
                <w:sz w:val="18"/>
                <w:szCs w:val="18"/>
              </w:rPr>
              <w:t>As restated*</w:t>
            </w:r>
          </w:p>
          <w:p w:rsidR="0092140F" w:rsidRDefault="0092140F" w:rsidP="00704CC0">
            <w:pPr>
              <w:tabs>
                <w:tab w:val="left" w:pos="567"/>
                <w:tab w:val="left" w:pos="1134"/>
                <w:tab w:val="left" w:pos="1701"/>
                <w:tab w:val="left" w:pos="2268"/>
              </w:tabs>
              <w:jc w:val="right"/>
              <w:rPr>
                <w:rFonts w:cs="Arial"/>
                <w:sz w:val="18"/>
                <w:szCs w:val="18"/>
              </w:rPr>
            </w:pPr>
            <w:r w:rsidRPr="001B7CD5">
              <w:rPr>
                <w:rFonts w:cs="Arial"/>
                <w:sz w:val="18"/>
                <w:szCs w:val="18"/>
              </w:rPr>
              <w:t>201</w:t>
            </w:r>
            <w:r w:rsidR="00BE28A4" w:rsidRPr="001B7CD5">
              <w:rPr>
                <w:rFonts w:cs="Arial"/>
                <w:sz w:val="18"/>
                <w:szCs w:val="18"/>
              </w:rPr>
              <w:t>2</w:t>
            </w:r>
          </w:p>
          <w:p w:rsidR="00130F0B" w:rsidRPr="001B7CD5" w:rsidRDefault="00130F0B" w:rsidP="00704CC0">
            <w:pPr>
              <w:tabs>
                <w:tab w:val="left" w:pos="567"/>
                <w:tab w:val="left" w:pos="1134"/>
                <w:tab w:val="left" w:pos="1701"/>
                <w:tab w:val="left" w:pos="2268"/>
              </w:tabs>
              <w:jc w:val="right"/>
              <w:rPr>
                <w:rFonts w:cs="Arial"/>
                <w:sz w:val="18"/>
                <w:szCs w:val="18"/>
              </w:rPr>
            </w:pPr>
            <w:r>
              <w:rPr>
                <w:rFonts w:cs="Arial"/>
                <w:sz w:val="18"/>
                <w:szCs w:val="18"/>
              </w:rPr>
              <w:t>£'000</w:t>
            </w:r>
          </w:p>
        </w:tc>
      </w:tr>
      <w:tr w:rsidR="001B7CD5" w:rsidRPr="001B7CD5" w:rsidTr="00562F9C">
        <w:trPr>
          <w:trHeight w:val="20"/>
        </w:trPr>
        <w:tc>
          <w:tcPr>
            <w:tcW w:w="2500" w:type="pct"/>
            <w:shd w:val="clear" w:color="auto" w:fill="auto"/>
            <w:noWrap/>
            <w:vAlign w:val="bottom"/>
          </w:tcPr>
          <w:p w:rsidR="001B7CD5" w:rsidRPr="001B7CD5" w:rsidRDefault="001B7CD5" w:rsidP="00704CC0">
            <w:pPr>
              <w:keepNext/>
              <w:keepLines/>
              <w:tabs>
                <w:tab w:val="left" w:pos="567"/>
                <w:tab w:val="left" w:pos="1134"/>
                <w:tab w:val="left" w:pos="1701"/>
                <w:tab w:val="left" w:pos="2268"/>
              </w:tabs>
              <w:ind w:left="567"/>
              <w:rPr>
                <w:rFonts w:cs="Arial"/>
                <w:sz w:val="18"/>
                <w:szCs w:val="18"/>
              </w:rPr>
            </w:pPr>
            <w:r w:rsidRPr="001B7CD5">
              <w:rPr>
                <w:rFonts w:cs="Arial"/>
                <w:sz w:val="18"/>
                <w:szCs w:val="18"/>
              </w:rPr>
              <w:t>Company shares in Group undertakings:</w:t>
            </w:r>
          </w:p>
        </w:tc>
        <w:tc>
          <w:tcPr>
            <w:tcW w:w="375" w:type="pct"/>
            <w:shd w:val="clear" w:color="auto" w:fill="auto"/>
            <w:vAlign w:val="bottom"/>
          </w:tcPr>
          <w:p w:rsidR="001B7CD5" w:rsidRPr="001B7CD5" w:rsidRDefault="001B7CD5" w:rsidP="00704CC0">
            <w:pPr>
              <w:tabs>
                <w:tab w:val="left" w:pos="567"/>
                <w:tab w:val="left" w:pos="1134"/>
                <w:tab w:val="left" w:pos="1701"/>
                <w:tab w:val="left" w:pos="2268"/>
              </w:tabs>
              <w:rPr>
                <w:rFonts w:cs="Arial"/>
                <w:sz w:val="18"/>
                <w:szCs w:val="18"/>
              </w:rPr>
            </w:pPr>
          </w:p>
        </w:tc>
        <w:tc>
          <w:tcPr>
            <w:tcW w:w="1000" w:type="pct"/>
            <w:shd w:val="clear" w:color="auto" w:fill="auto"/>
            <w:vAlign w:val="bottom"/>
          </w:tcPr>
          <w:p w:rsidR="001B7CD5" w:rsidRPr="001B7CD5" w:rsidRDefault="001B7CD5" w:rsidP="00704CC0">
            <w:pPr>
              <w:tabs>
                <w:tab w:val="left" w:pos="567"/>
                <w:tab w:val="left" w:pos="1134"/>
                <w:tab w:val="left" w:pos="1701"/>
                <w:tab w:val="left" w:pos="2268"/>
              </w:tabs>
              <w:rPr>
                <w:rFonts w:cs="Arial"/>
                <w:sz w:val="18"/>
                <w:szCs w:val="18"/>
              </w:rPr>
            </w:pPr>
          </w:p>
        </w:tc>
        <w:tc>
          <w:tcPr>
            <w:tcW w:w="125" w:type="pct"/>
            <w:shd w:val="clear" w:color="auto" w:fill="auto"/>
            <w:vAlign w:val="bottom"/>
          </w:tcPr>
          <w:p w:rsidR="001B7CD5" w:rsidRPr="001B7CD5" w:rsidRDefault="001B7CD5" w:rsidP="00704CC0">
            <w:pPr>
              <w:tabs>
                <w:tab w:val="left" w:pos="567"/>
                <w:tab w:val="left" w:pos="1134"/>
                <w:tab w:val="left" w:pos="1701"/>
                <w:tab w:val="left" w:pos="2268"/>
              </w:tabs>
              <w:rPr>
                <w:rFonts w:cs="Arial"/>
                <w:sz w:val="18"/>
                <w:szCs w:val="18"/>
              </w:rPr>
            </w:pPr>
          </w:p>
        </w:tc>
        <w:tc>
          <w:tcPr>
            <w:tcW w:w="1000" w:type="pct"/>
            <w:shd w:val="clear" w:color="auto" w:fill="auto"/>
            <w:vAlign w:val="bottom"/>
          </w:tcPr>
          <w:p w:rsidR="001B7CD5" w:rsidRPr="001B7CD5" w:rsidRDefault="001B7CD5" w:rsidP="00704CC0">
            <w:pPr>
              <w:tabs>
                <w:tab w:val="left" w:pos="567"/>
                <w:tab w:val="left" w:pos="1134"/>
                <w:tab w:val="left" w:pos="1701"/>
                <w:tab w:val="left" w:pos="2268"/>
              </w:tabs>
              <w:rPr>
                <w:rFonts w:cs="Arial"/>
                <w:sz w:val="18"/>
                <w:szCs w:val="18"/>
              </w:rPr>
            </w:pPr>
          </w:p>
        </w:tc>
      </w:tr>
      <w:tr w:rsidR="009C66B9" w:rsidRPr="001B7CD5" w:rsidTr="00562F9C">
        <w:trPr>
          <w:trHeight w:val="20"/>
        </w:trPr>
        <w:tc>
          <w:tcPr>
            <w:tcW w:w="2500" w:type="pct"/>
            <w:shd w:val="clear" w:color="auto" w:fill="auto"/>
            <w:noWrap/>
            <w:vAlign w:val="bottom"/>
          </w:tcPr>
          <w:p w:rsidR="009C66B9" w:rsidRPr="001B7CD5" w:rsidRDefault="009C66B9" w:rsidP="00704CC0">
            <w:pPr>
              <w:keepNext/>
              <w:keepLines/>
              <w:tabs>
                <w:tab w:val="left" w:pos="567"/>
                <w:tab w:val="left" w:pos="1134"/>
                <w:tab w:val="left" w:pos="1701"/>
                <w:tab w:val="left" w:pos="2268"/>
              </w:tabs>
              <w:ind w:left="567"/>
              <w:rPr>
                <w:rFonts w:cs="Arial"/>
                <w:b/>
                <w:sz w:val="18"/>
                <w:szCs w:val="18"/>
              </w:rPr>
            </w:pPr>
            <w:r w:rsidRPr="001B7CD5">
              <w:rPr>
                <w:rFonts w:cs="Arial"/>
                <w:sz w:val="18"/>
                <w:szCs w:val="18"/>
              </w:rPr>
              <w:t>Elephant Capital LP*</w:t>
            </w:r>
            <w:r w:rsidR="00D0282D" w:rsidRPr="001B7CD5">
              <w:rPr>
                <w:rFonts w:cs="Arial"/>
                <w:sz w:val="18"/>
                <w:szCs w:val="18"/>
              </w:rPr>
              <w:t>*</w:t>
            </w:r>
            <w:r w:rsidRPr="001B7CD5">
              <w:rPr>
                <w:rFonts w:cs="Arial"/>
                <w:sz w:val="18"/>
                <w:szCs w:val="18"/>
              </w:rPr>
              <w:t xml:space="preserve"> </w:t>
            </w:r>
          </w:p>
        </w:tc>
        <w:tc>
          <w:tcPr>
            <w:tcW w:w="375" w:type="pct"/>
            <w:shd w:val="clear" w:color="auto" w:fill="auto"/>
            <w:noWrap/>
            <w:vAlign w:val="bottom"/>
          </w:tcPr>
          <w:p w:rsidR="009C66B9" w:rsidRPr="001B7CD5" w:rsidRDefault="009C66B9" w:rsidP="00704CC0">
            <w:pPr>
              <w:tabs>
                <w:tab w:val="left" w:pos="567"/>
                <w:tab w:val="left" w:pos="1134"/>
                <w:tab w:val="left" w:pos="1701"/>
                <w:tab w:val="left" w:pos="2268"/>
              </w:tabs>
              <w:rPr>
                <w:rFonts w:cs="Arial"/>
                <w:sz w:val="18"/>
                <w:szCs w:val="18"/>
              </w:rPr>
            </w:pPr>
          </w:p>
        </w:tc>
        <w:tc>
          <w:tcPr>
            <w:tcW w:w="1000" w:type="pct"/>
            <w:shd w:val="clear" w:color="auto" w:fill="auto"/>
            <w:noWrap/>
            <w:vAlign w:val="bottom"/>
          </w:tcPr>
          <w:p w:rsidR="009C66B9" w:rsidRPr="001B7CD5" w:rsidRDefault="00BE28A4" w:rsidP="00704CC0">
            <w:pPr>
              <w:tabs>
                <w:tab w:val="left" w:pos="567"/>
                <w:tab w:val="left" w:pos="1134"/>
                <w:tab w:val="left" w:pos="1701"/>
                <w:tab w:val="left" w:pos="2268"/>
              </w:tabs>
              <w:jc w:val="right"/>
              <w:rPr>
                <w:rFonts w:cs="Arial"/>
                <w:b/>
                <w:sz w:val="18"/>
                <w:szCs w:val="18"/>
              </w:rPr>
            </w:pPr>
            <w:r w:rsidRPr="001B7CD5">
              <w:rPr>
                <w:rFonts w:cs="Arial"/>
                <w:b/>
                <w:sz w:val="18"/>
                <w:szCs w:val="18"/>
              </w:rPr>
              <w:t>-</w:t>
            </w:r>
          </w:p>
        </w:tc>
        <w:tc>
          <w:tcPr>
            <w:tcW w:w="125" w:type="pct"/>
            <w:shd w:val="clear" w:color="auto" w:fill="auto"/>
            <w:noWrap/>
          </w:tcPr>
          <w:p w:rsidR="009C66B9" w:rsidRPr="001B7CD5" w:rsidRDefault="009C66B9" w:rsidP="00704CC0">
            <w:pPr>
              <w:tabs>
                <w:tab w:val="left" w:pos="567"/>
                <w:tab w:val="left" w:pos="1134"/>
                <w:tab w:val="left" w:pos="1701"/>
                <w:tab w:val="left" w:pos="2268"/>
              </w:tabs>
              <w:jc w:val="right"/>
              <w:rPr>
                <w:rFonts w:cs="Arial"/>
                <w:sz w:val="18"/>
                <w:szCs w:val="18"/>
              </w:rPr>
            </w:pPr>
          </w:p>
        </w:tc>
        <w:tc>
          <w:tcPr>
            <w:tcW w:w="1000" w:type="pct"/>
            <w:shd w:val="clear" w:color="auto" w:fill="auto"/>
            <w:noWrap/>
            <w:vAlign w:val="bottom"/>
          </w:tcPr>
          <w:p w:rsidR="009C66B9" w:rsidRPr="001B7CD5" w:rsidRDefault="009C66B9" w:rsidP="00704CC0">
            <w:pPr>
              <w:tabs>
                <w:tab w:val="left" w:pos="567"/>
                <w:tab w:val="left" w:pos="1134"/>
                <w:tab w:val="left" w:pos="1701"/>
                <w:tab w:val="left" w:pos="2268"/>
              </w:tabs>
              <w:jc w:val="right"/>
              <w:rPr>
                <w:rFonts w:cs="Arial"/>
                <w:sz w:val="18"/>
                <w:szCs w:val="18"/>
              </w:rPr>
            </w:pPr>
            <w:r w:rsidRPr="001B7CD5">
              <w:rPr>
                <w:rFonts w:cs="Arial"/>
                <w:sz w:val="18"/>
                <w:szCs w:val="18"/>
              </w:rPr>
              <w:t>-</w:t>
            </w:r>
          </w:p>
        </w:tc>
      </w:tr>
      <w:tr w:rsidR="009C66B9" w:rsidRPr="001B7CD5" w:rsidTr="00562F9C">
        <w:trPr>
          <w:trHeight w:val="20"/>
        </w:trPr>
        <w:tc>
          <w:tcPr>
            <w:tcW w:w="2500" w:type="pct"/>
            <w:shd w:val="clear" w:color="auto" w:fill="auto"/>
            <w:noWrap/>
            <w:vAlign w:val="bottom"/>
          </w:tcPr>
          <w:p w:rsidR="009C66B9" w:rsidRPr="001B7CD5" w:rsidRDefault="009C66B9" w:rsidP="00704CC0">
            <w:pPr>
              <w:keepNext/>
              <w:keepLines/>
              <w:tabs>
                <w:tab w:val="left" w:pos="567"/>
                <w:tab w:val="left" w:pos="1134"/>
                <w:tab w:val="left" w:pos="1701"/>
                <w:tab w:val="left" w:pos="2268"/>
              </w:tabs>
              <w:ind w:left="567"/>
              <w:rPr>
                <w:rFonts w:cs="Arial"/>
                <w:sz w:val="18"/>
                <w:szCs w:val="18"/>
              </w:rPr>
            </w:pPr>
            <w:r w:rsidRPr="001B7CD5">
              <w:rPr>
                <w:rFonts w:cs="Arial"/>
                <w:sz w:val="18"/>
                <w:szCs w:val="18"/>
              </w:rPr>
              <w:t>Tusk Investments 1 Limited</w:t>
            </w:r>
          </w:p>
        </w:tc>
        <w:tc>
          <w:tcPr>
            <w:tcW w:w="375" w:type="pct"/>
            <w:shd w:val="clear" w:color="auto" w:fill="auto"/>
            <w:noWrap/>
            <w:vAlign w:val="bottom"/>
          </w:tcPr>
          <w:p w:rsidR="009C66B9" w:rsidRPr="001B7CD5" w:rsidRDefault="009C66B9" w:rsidP="00704CC0">
            <w:pPr>
              <w:tabs>
                <w:tab w:val="left" w:pos="567"/>
                <w:tab w:val="left" w:pos="1134"/>
                <w:tab w:val="left" w:pos="1701"/>
                <w:tab w:val="left" w:pos="2268"/>
              </w:tabs>
              <w:rPr>
                <w:rFonts w:cs="Arial"/>
                <w:sz w:val="18"/>
                <w:szCs w:val="18"/>
              </w:rPr>
            </w:pPr>
          </w:p>
        </w:tc>
        <w:tc>
          <w:tcPr>
            <w:tcW w:w="1000" w:type="pct"/>
            <w:shd w:val="clear" w:color="auto" w:fill="auto"/>
            <w:noWrap/>
          </w:tcPr>
          <w:p w:rsidR="009C66B9" w:rsidRPr="001B7CD5" w:rsidRDefault="006C5AD4" w:rsidP="00704CC0">
            <w:pPr>
              <w:tabs>
                <w:tab w:val="left" w:pos="567"/>
                <w:tab w:val="left" w:pos="1134"/>
                <w:tab w:val="left" w:pos="1701"/>
                <w:tab w:val="left" w:pos="2268"/>
              </w:tabs>
              <w:jc w:val="right"/>
              <w:rPr>
                <w:rFonts w:cs="Arial"/>
                <w:b/>
                <w:sz w:val="18"/>
                <w:szCs w:val="18"/>
              </w:rPr>
            </w:pPr>
            <w:r w:rsidRPr="001B7CD5">
              <w:rPr>
                <w:rFonts w:cs="Arial"/>
                <w:b/>
                <w:sz w:val="18"/>
                <w:szCs w:val="18"/>
              </w:rPr>
              <w:t>7,665</w:t>
            </w:r>
          </w:p>
        </w:tc>
        <w:tc>
          <w:tcPr>
            <w:tcW w:w="125" w:type="pct"/>
            <w:shd w:val="clear" w:color="auto" w:fill="auto"/>
            <w:noWrap/>
          </w:tcPr>
          <w:p w:rsidR="009C66B9" w:rsidRPr="001B7CD5" w:rsidRDefault="009C66B9" w:rsidP="00704CC0">
            <w:pPr>
              <w:tabs>
                <w:tab w:val="left" w:pos="567"/>
                <w:tab w:val="left" w:pos="1134"/>
                <w:tab w:val="left" w:pos="1701"/>
                <w:tab w:val="left" w:pos="2268"/>
              </w:tabs>
              <w:jc w:val="right"/>
              <w:rPr>
                <w:rFonts w:cs="Arial"/>
                <w:sz w:val="18"/>
                <w:szCs w:val="18"/>
              </w:rPr>
            </w:pPr>
          </w:p>
        </w:tc>
        <w:tc>
          <w:tcPr>
            <w:tcW w:w="1000" w:type="pct"/>
            <w:shd w:val="clear" w:color="auto" w:fill="auto"/>
            <w:noWrap/>
          </w:tcPr>
          <w:p w:rsidR="009C66B9" w:rsidRPr="001B7CD5" w:rsidRDefault="009C66B9" w:rsidP="00704CC0">
            <w:pPr>
              <w:tabs>
                <w:tab w:val="left" w:pos="567"/>
                <w:tab w:val="left" w:pos="1134"/>
                <w:tab w:val="left" w:pos="1701"/>
                <w:tab w:val="left" w:pos="2268"/>
              </w:tabs>
              <w:jc w:val="right"/>
              <w:rPr>
                <w:rFonts w:cs="Arial"/>
                <w:sz w:val="18"/>
                <w:szCs w:val="18"/>
              </w:rPr>
            </w:pPr>
            <w:r w:rsidRPr="001B7CD5">
              <w:rPr>
                <w:rFonts w:cs="Arial"/>
                <w:sz w:val="18"/>
                <w:szCs w:val="18"/>
              </w:rPr>
              <w:t>7,665</w:t>
            </w:r>
          </w:p>
        </w:tc>
      </w:tr>
      <w:tr w:rsidR="009C66B9" w:rsidRPr="001B7CD5" w:rsidTr="00562F9C">
        <w:trPr>
          <w:trHeight w:val="20"/>
        </w:trPr>
        <w:tc>
          <w:tcPr>
            <w:tcW w:w="2500" w:type="pct"/>
            <w:shd w:val="clear" w:color="auto" w:fill="auto"/>
            <w:noWrap/>
            <w:vAlign w:val="bottom"/>
          </w:tcPr>
          <w:p w:rsidR="009C66B9" w:rsidRPr="001B7CD5" w:rsidRDefault="009C66B9" w:rsidP="00704CC0">
            <w:pPr>
              <w:keepNext/>
              <w:keepLines/>
              <w:tabs>
                <w:tab w:val="left" w:pos="567"/>
                <w:tab w:val="left" w:pos="1134"/>
                <w:tab w:val="left" w:pos="1701"/>
                <w:tab w:val="left" w:pos="2268"/>
              </w:tabs>
              <w:ind w:left="567"/>
              <w:rPr>
                <w:rFonts w:cs="Arial"/>
                <w:sz w:val="18"/>
                <w:szCs w:val="18"/>
              </w:rPr>
            </w:pPr>
            <w:r w:rsidRPr="001B7CD5">
              <w:rPr>
                <w:rFonts w:cs="Arial"/>
                <w:sz w:val="18"/>
                <w:szCs w:val="18"/>
              </w:rPr>
              <w:t>Tusk Investments 2 Limited</w:t>
            </w:r>
          </w:p>
        </w:tc>
        <w:tc>
          <w:tcPr>
            <w:tcW w:w="375" w:type="pct"/>
            <w:shd w:val="clear" w:color="auto" w:fill="auto"/>
            <w:noWrap/>
            <w:vAlign w:val="bottom"/>
          </w:tcPr>
          <w:p w:rsidR="009C66B9" w:rsidRPr="001B7CD5" w:rsidRDefault="009C66B9" w:rsidP="00704CC0">
            <w:pPr>
              <w:tabs>
                <w:tab w:val="left" w:pos="567"/>
                <w:tab w:val="left" w:pos="1134"/>
                <w:tab w:val="left" w:pos="1701"/>
                <w:tab w:val="left" w:pos="2268"/>
              </w:tabs>
              <w:rPr>
                <w:rFonts w:cs="Arial"/>
                <w:sz w:val="18"/>
                <w:szCs w:val="18"/>
              </w:rPr>
            </w:pPr>
          </w:p>
        </w:tc>
        <w:tc>
          <w:tcPr>
            <w:tcW w:w="1000" w:type="pct"/>
            <w:shd w:val="clear" w:color="auto" w:fill="auto"/>
            <w:noWrap/>
          </w:tcPr>
          <w:p w:rsidR="009C66B9" w:rsidRPr="001B7CD5" w:rsidRDefault="006C5AD4" w:rsidP="00704CC0">
            <w:pPr>
              <w:tabs>
                <w:tab w:val="left" w:pos="567"/>
                <w:tab w:val="left" w:pos="1134"/>
                <w:tab w:val="left" w:pos="1701"/>
                <w:tab w:val="left" w:pos="2268"/>
              </w:tabs>
              <w:jc w:val="right"/>
              <w:rPr>
                <w:rFonts w:cs="Arial"/>
                <w:b/>
                <w:sz w:val="18"/>
                <w:szCs w:val="18"/>
              </w:rPr>
            </w:pPr>
            <w:r w:rsidRPr="001B7CD5">
              <w:rPr>
                <w:rFonts w:cs="Arial"/>
                <w:b/>
                <w:sz w:val="18"/>
                <w:szCs w:val="18"/>
              </w:rPr>
              <w:t>10,550</w:t>
            </w:r>
          </w:p>
        </w:tc>
        <w:tc>
          <w:tcPr>
            <w:tcW w:w="125" w:type="pct"/>
            <w:shd w:val="clear" w:color="auto" w:fill="auto"/>
            <w:noWrap/>
          </w:tcPr>
          <w:p w:rsidR="009C66B9" w:rsidRPr="001B7CD5" w:rsidRDefault="009C66B9" w:rsidP="00704CC0">
            <w:pPr>
              <w:tabs>
                <w:tab w:val="left" w:pos="567"/>
                <w:tab w:val="left" w:pos="1134"/>
                <w:tab w:val="left" w:pos="1701"/>
                <w:tab w:val="left" w:pos="2268"/>
              </w:tabs>
              <w:jc w:val="right"/>
              <w:rPr>
                <w:rFonts w:cs="Arial"/>
                <w:sz w:val="18"/>
                <w:szCs w:val="18"/>
              </w:rPr>
            </w:pPr>
          </w:p>
        </w:tc>
        <w:tc>
          <w:tcPr>
            <w:tcW w:w="1000" w:type="pct"/>
            <w:shd w:val="clear" w:color="auto" w:fill="auto"/>
            <w:noWrap/>
          </w:tcPr>
          <w:p w:rsidR="009C66B9" w:rsidRPr="001B7CD5" w:rsidRDefault="009C66B9" w:rsidP="00704CC0">
            <w:pPr>
              <w:tabs>
                <w:tab w:val="left" w:pos="567"/>
                <w:tab w:val="left" w:pos="1134"/>
                <w:tab w:val="left" w:pos="1701"/>
                <w:tab w:val="left" w:pos="2268"/>
              </w:tabs>
              <w:jc w:val="right"/>
              <w:rPr>
                <w:rFonts w:cs="Arial"/>
                <w:sz w:val="18"/>
                <w:szCs w:val="18"/>
              </w:rPr>
            </w:pPr>
            <w:r w:rsidRPr="001B7CD5">
              <w:rPr>
                <w:rFonts w:cs="Arial"/>
                <w:sz w:val="18"/>
                <w:szCs w:val="18"/>
              </w:rPr>
              <w:t>13,250</w:t>
            </w:r>
          </w:p>
        </w:tc>
      </w:tr>
      <w:tr w:rsidR="009C66B9" w:rsidRPr="001B7CD5" w:rsidTr="00562F9C">
        <w:trPr>
          <w:trHeight w:val="20"/>
        </w:trPr>
        <w:tc>
          <w:tcPr>
            <w:tcW w:w="2500" w:type="pct"/>
            <w:shd w:val="clear" w:color="auto" w:fill="auto"/>
            <w:noWrap/>
            <w:vAlign w:val="bottom"/>
          </w:tcPr>
          <w:p w:rsidR="009C66B9" w:rsidRPr="001B7CD5" w:rsidRDefault="009C66B9" w:rsidP="00704CC0">
            <w:pPr>
              <w:keepNext/>
              <w:keepLines/>
              <w:tabs>
                <w:tab w:val="left" w:pos="567"/>
                <w:tab w:val="left" w:pos="1134"/>
                <w:tab w:val="left" w:pos="1701"/>
                <w:tab w:val="left" w:pos="2268"/>
              </w:tabs>
              <w:ind w:left="567"/>
              <w:rPr>
                <w:rFonts w:cs="Arial"/>
                <w:sz w:val="18"/>
                <w:szCs w:val="18"/>
              </w:rPr>
            </w:pPr>
            <w:r w:rsidRPr="001B7CD5">
              <w:rPr>
                <w:rFonts w:cs="Arial"/>
                <w:sz w:val="18"/>
                <w:szCs w:val="18"/>
              </w:rPr>
              <w:t>Elephant 2 Limited*</w:t>
            </w:r>
            <w:r w:rsidR="00D0282D" w:rsidRPr="001B7CD5">
              <w:rPr>
                <w:rFonts w:cs="Arial"/>
                <w:sz w:val="18"/>
                <w:szCs w:val="18"/>
              </w:rPr>
              <w:t>*</w:t>
            </w:r>
          </w:p>
        </w:tc>
        <w:tc>
          <w:tcPr>
            <w:tcW w:w="375" w:type="pct"/>
            <w:shd w:val="clear" w:color="auto" w:fill="auto"/>
            <w:noWrap/>
            <w:vAlign w:val="bottom"/>
          </w:tcPr>
          <w:p w:rsidR="009C66B9" w:rsidRPr="001B7CD5" w:rsidRDefault="009C66B9" w:rsidP="00704CC0">
            <w:pPr>
              <w:tabs>
                <w:tab w:val="left" w:pos="567"/>
                <w:tab w:val="left" w:pos="1134"/>
                <w:tab w:val="left" w:pos="1701"/>
                <w:tab w:val="left" w:pos="2268"/>
              </w:tabs>
              <w:jc w:val="center"/>
              <w:rPr>
                <w:rFonts w:cs="Arial"/>
                <w:sz w:val="18"/>
                <w:szCs w:val="18"/>
              </w:rPr>
            </w:pPr>
          </w:p>
        </w:tc>
        <w:tc>
          <w:tcPr>
            <w:tcW w:w="1000" w:type="pct"/>
            <w:shd w:val="clear" w:color="auto" w:fill="auto"/>
            <w:noWrap/>
          </w:tcPr>
          <w:p w:rsidR="009C66B9" w:rsidRPr="001B7CD5" w:rsidRDefault="006C5AD4" w:rsidP="00704CC0">
            <w:pPr>
              <w:tabs>
                <w:tab w:val="left" w:pos="567"/>
                <w:tab w:val="left" w:pos="1134"/>
                <w:tab w:val="left" w:pos="1701"/>
                <w:tab w:val="left" w:pos="2268"/>
              </w:tabs>
              <w:jc w:val="right"/>
              <w:rPr>
                <w:rFonts w:cs="Arial"/>
                <w:b/>
                <w:sz w:val="18"/>
                <w:szCs w:val="18"/>
              </w:rPr>
            </w:pPr>
            <w:r w:rsidRPr="001B7CD5">
              <w:rPr>
                <w:rFonts w:cs="Arial"/>
                <w:b/>
                <w:sz w:val="18"/>
                <w:szCs w:val="18"/>
              </w:rPr>
              <w:t>-</w:t>
            </w:r>
          </w:p>
        </w:tc>
        <w:tc>
          <w:tcPr>
            <w:tcW w:w="125" w:type="pct"/>
            <w:shd w:val="clear" w:color="auto" w:fill="auto"/>
            <w:noWrap/>
          </w:tcPr>
          <w:p w:rsidR="009C66B9" w:rsidRPr="001B7CD5" w:rsidRDefault="009C66B9" w:rsidP="00704CC0">
            <w:pPr>
              <w:tabs>
                <w:tab w:val="left" w:pos="567"/>
                <w:tab w:val="left" w:pos="1134"/>
                <w:tab w:val="left" w:pos="1701"/>
                <w:tab w:val="left" w:pos="2268"/>
              </w:tabs>
              <w:jc w:val="right"/>
              <w:rPr>
                <w:rFonts w:cs="Arial"/>
                <w:b/>
                <w:sz w:val="18"/>
                <w:szCs w:val="18"/>
              </w:rPr>
            </w:pPr>
          </w:p>
        </w:tc>
        <w:tc>
          <w:tcPr>
            <w:tcW w:w="1000" w:type="pct"/>
            <w:shd w:val="clear" w:color="auto" w:fill="auto"/>
            <w:noWrap/>
          </w:tcPr>
          <w:p w:rsidR="009C66B9" w:rsidRPr="001B7CD5" w:rsidRDefault="009C66B9" w:rsidP="00704CC0">
            <w:pPr>
              <w:tabs>
                <w:tab w:val="left" w:pos="567"/>
                <w:tab w:val="left" w:pos="1134"/>
                <w:tab w:val="left" w:pos="1701"/>
                <w:tab w:val="left" w:pos="2268"/>
              </w:tabs>
              <w:jc w:val="right"/>
              <w:rPr>
                <w:rFonts w:cs="Arial"/>
                <w:sz w:val="18"/>
                <w:szCs w:val="18"/>
              </w:rPr>
            </w:pPr>
            <w:r w:rsidRPr="001B7CD5">
              <w:rPr>
                <w:rFonts w:cs="Arial"/>
                <w:sz w:val="18"/>
                <w:szCs w:val="18"/>
              </w:rPr>
              <w:t>-</w:t>
            </w:r>
          </w:p>
        </w:tc>
      </w:tr>
      <w:tr w:rsidR="009C66B9" w:rsidRPr="001B7CD5" w:rsidTr="00562F9C">
        <w:trPr>
          <w:trHeight w:val="20"/>
        </w:trPr>
        <w:tc>
          <w:tcPr>
            <w:tcW w:w="2500" w:type="pct"/>
            <w:shd w:val="clear" w:color="auto" w:fill="auto"/>
            <w:noWrap/>
            <w:vAlign w:val="bottom"/>
          </w:tcPr>
          <w:p w:rsidR="009C66B9" w:rsidRPr="001B7CD5" w:rsidRDefault="009C66B9" w:rsidP="00704CC0">
            <w:pPr>
              <w:keepNext/>
              <w:keepLines/>
              <w:tabs>
                <w:tab w:val="left" w:pos="567"/>
                <w:tab w:val="left" w:pos="1134"/>
                <w:tab w:val="left" w:pos="1701"/>
                <w:tab w:val="left" w:pos="2268"/>
              </w:tabs>
              <w:ind w:left="567"/>
              <w:rPr>
                <w:rFonts w:cs="Arial"/>
                <w:sz w:val="18"/>
                <w:szCs w:val="18"/>
              </w:rPr>
            </w:pPr>
            <w:r w:rsidRPr="001B7CD5">
              <w:rPr>
                <w:rFonts w:cs="Arial"/>
                <w:sz w:val="18"/>
                <w:szCs w:val="18"/>
              </w:rPr>
              <w:t>Elephant Investments (General Partner) Limited*</w:t>
            </w:r>
            <w:r w:rsidR="00D0282D" w:rsidRPr="001B7CD5">
              <w:rPr>
                <w:rFonts w:cs="Arial"/>
                <w:sz w:val="18"/>
                <w:szCs w:val="18"/>
              </w:rPr>
              <w:t>*</w:t>
            </w:r>
          </w:p>
        </w:tc>
        <w:tc>
          <w:tcPr>
            <w:tcW w:w="375" w:type="pct"/>
            <w:shd w:val="clear" w:color="auto" w:fill="auto"/>
            <w:noWrap/>
            <w:vAlign w:val="bottom"/>
          </w:tcPr>
          <w:p w:rsidR="009C66B9" w:rsidRPr="001B7CD5" w:rsidRDefault="009C66B9" w:rsidP="00704CC0">
            <w:pPr>
              <w:tabs>
                <w:tab w:val="left" w:pos="567"/>
                <w:tab w:val="left" w:pos="1134"/>
                <w:tab w:val="left" w:pos="1701"/>
                <w:tab w:val="left" w:pos="2268"/>
              </w:tabs>
              <w:jc w:val="center"/>
              <w:rPr>
                <w:rFonts w:cs="Arial"/>
                <w:sz w:val="18"/>
                <w:szCs w:val="18"/>
              </w:rPr>
            </w:pPr>
          </w:p>
        </w:tc>
        <w:tc>
          <w:tcPr>
            <w:tcW w:w="1000" w:type="pct"/>
            <w:shd w:val="clear" w:color="auto" w:fill="auto"/>
            <w:noWrap/>
          </w:tcPr>
          <w:p w:rsidR="009C66B9" w:rsidRPr="001B7CD5" w:rsidRDefault="006C5AD4" w:rsidP="00704CC0">
            <w:pPr>
              <w:tabs>
                <w:tab w:val="left" w:pos="567"/>
                <w:tab w:val="left" w:pos="1134"/>
                <w:tab w:val="left" w:pos="1701"/>
                <w:tab w:val="left" w:pos="2268"/>
              </w:tabs>
              <w:jc w:val="right"/>
              <w:rPr>
                <w:rFonts w:cs="Arial"/>
                <w:b/>
                <w:sz w:val="18"/>
                <w:szCs w:val="18"/>
              </w:rPr>
            </w:pPr>
            <w:r w:rsidRPr="001B7CD5">
              <w:rPr>
                <w:rFonts w:cs="Arial"/>
                <w:b/>
                <w:sz w:val="18"/>
                <w:szCs w:val="18"/>
              </w:rPr>
              <w:t>-</w:t>
            </w:r>
          </w:p>
        </w:tc>
        <w:tc>
          <w:tcPr>
            <w:tcW w:w="125" w:type="pct"/>
            <w:shd w:val="clear" w:color="auto" w:fill="auto"/>
            <w:noWrap/>
          </w:tcPr>
          <w:p w:rsidR="009C66B9" w:rsidRPr="001B7CD5" w:rsidRDefault="009C66B9" w:rsidP="00704CC0">
            <w:pPr>
              <w:tabs>
                <w:tab w:val="left" w:pos="567"/>
                <w:tab w:val="left" w:pos="1134"/>
                <w:tab w:val="left" w:pos="1701"/>
                <w:tab w:val="left" w:pos="2268"/>
              </w:tabs>
              <w:jc w:val="right"/>
              <w:rPr>
                <w:rFonts w:cs="Arial"/>
                <w:b/>
                <w:sz w:val="18"/>
                <w:szCs w:val="18"/>
              </w:rPr>
            </w:pPr>
          </w:p>
        </w:tc>
        <w:tc>
          <w:tcPr>
            <w:tcW w:w="1000" w:type="pct"/>
            <w:shd w:val="clear" w:color="auto" w:fill="auto"/>
            <w:noWrap/>
          </w:tcPr>
          <w:p w:rsidR="009C66B9" w:rsidRPr="001B7CD5" w:rsidRDefault="009C66B9" w:rsidP="00704CC0">
            <w:pPr>
              <w:tabs>
                <w:tab w:val="left" w:pos="567"/>
                <w:tab w:val="left" w:pos="1134"/>
                <w:tab w:val="left" w:pos="1701"/>
                <w:tab w:val="left" w:pos="2268"/>
              </w:tabs>
              <w:jc w:val="right"/>
              <w:rPr>
                <w:rFonts w:cs="Arial"/>
                <w:sz w:val="18"/>
                <w:szCs w:val="18"/>
              </w:rPr>
            </w:pPr>
            <w:r w:rsidRPr="001B7CD5">
              <w:rPr>
                <w:rFonts w:cs="Arial"/>
                <w:sz w:val="18"/>
                <w:szCs w:val="18"/>
              </w:rPr>
              <w:t>-</w:t>
            </w:r>
          </w:p>
        </w:tc>
      </w:tr>
      <w:tr w:rsidR="009C66B9" w:rsidRPr="001B7CD5" w:rsidTr="00562F9C">
        <w:trPr>
          <w:trHeight w:val="20"/>
        </w:trPr>
        <w:tc>
          <w:tcPr>
            <w:tcW w:w="2500" w:type="pct"/>
            <w:shd w:val="clear" w:color="auto" w:fill="auto"/>
            <w:noWrap/>
            <w:vAlign w:val="bottom"/>
          </w:tcPr>
          <w:p w:rsidR="009C66B9" w:rsidRPr="001B7CD5" w:rsidRDefault="009C66B9" w:rsidP="00704CC0">
            <w:pPr>
              <w:keepNext/>
              <w:keepLines/>
              <w:tabs>
                <w:tab w:val="left" w:pos="567"/>
                <w:tab w:val="left" w:pos="1134"/>
                <w:tab w:val="left" w:pos="1701"/>
                <w:tab w:val="left" w:pos="2268"/>
              </w:tabs>
              <w:ind w:left="567"/>
              <w:rPr>
                <w:rFonts w:cs="Arial"/>
                <w:sz w:val="18"/>
                <w:szCs w:val="18"/>
              </w:rPr>
            </w:pPr>
            <w:r w:rsidRPr="001B7CD5">
              <w:rPr>
                <w:rFonts w:cs="Arial"/>
                <w:sz w:val="18"/>
                <w:szCs w:val="18"/>
              </w:rPr>
              <w:t>Elephant Investments (Carry) Limited*</w:t>
            </w:r>
            <w:r w:rsidR="00D0282D" w:rsidRPr="001B7CD5">
              <w:rPr>
                <w:rFonts w:cs="Arial"/>
                <w:sz w:val="18"/>
                <w:szCs w:val="18"/>
              </w:rPr>
              <w:t>*</w:t>
            </w:r>
          </w:p>
        </w:tc>
        <w:tc>
          <w:tcPr>
            <w:tcW w:w="375" w:type="pct"/>
            <w:shd w:val="clear" w:color="auto" w:fill="auto"/>
            <w:noWrap/>
            <w:vAlign w:val="bottom"/>
          </w:tcPr>
          <w:p w:rsidR="009C66B9" w:rsidRPr="001B7CD5" w:rsidRDefault="009C66B9" w:rsidP="00704CC0">
            <w:pPr>
              <w:tabs>
                <w:tab w:val="left" w:pos="567"/>
                <w:tab w:val="left" w:pos="1134"/>
                <w:tab w:val="left" w:pos="1701"/>
                <w:tab w:val="left" w:pos="2268"/>
              </w:tabs>
              <w:jc w:val="center"/>
              <w:rPr>
                <w:rFonts w:cs="Arial"/>
                <w:sz w:val="18"/>
                <w:szCs w:val="18"/>
              </w:rPr>
            </w:pPr>
          </w:p>
        </w:tc>
        <w:tc>
          <w:tcPr>
            <w:tcW w:w="1000" w:type="pct"/>
            <w:shd w:val="clear" w:color="auto" w:fill="auto"/>
            <w:noWrap/>
          </w:tcPr>
          <w:p w:rsidR="009C66B9" w:rsidRPr="001B7CD5" w:rsidRDefault="006C5AD4" w:rsidP="00704CC0">
            <w:pPr>
              <w:tabs>
                <w:tab w:val="left" w:pos="567"/>
                <w:tab w:val="left" w:pos="1134"/>
                <w:tab w:val="left" w:pos="1701"/>
                <w:tab w:val="left" w:pos="2268"/>
              </w:tabs>
              <w:jc w:val="right"/>
              <w:rPr>
                <w:rFonts w:cs="Arial"/>
                <w:b/>
                <w:sz w:val="18"/>
                <w:szCs w:val="18"/>
              </w:rPr>
            </w:pPr>
            <w:r w:rsidRPr="001B7CD5">
              <w:rPr>
                <w:rFonts w:cs="Arial"/>
                <w:b/>
                <w:sz w:val="18"/>
                <w:szCs w:val="18"/>
              </w:rPr>
              <w:t>-</w:t>
            </w:r>
          </w:p>
        </w:tc>
        <w:tc>
          <w:tcPr>
            <w:tcW w:w="125" w:type="pct"/>
            <w:shd w:val="clear" w:color="auto" w:fill="auto"/>
            <w:noWrap/>
          </w:tcPr>
          <w:p w:rsidR="009C66B9" w:rsidRPr="001B7CD5" w:rsidRDefault="009C66B9" w:rsidP="00704CC0">
            <w:pPr>
              <w:tabs>
                <w:tab w:val="left" w:pos="567"/>
                <w:tab w:val="left" w:pos="1134"/>
                <w:tab w:val="left" w:pos="1701"/>
                <w:tab w:val="left" w:pos="2268"/>
              </w:tabs>
              <w:jc w:val="right"/>
              <w:rPr>
                <w:rFonts w:cs="Arial"/>
                <w:b/>
                <w:sz w:val="18"/>
                <w:szCs w:val="18"/>
              </w:rPr>
            </w:pPr>
          </w:p>
        </w:tc>
        <w:tc>
          <w:tcPr>
            <w:tcW w:w="1000" w:type="pct"/>
            <w:shd w:val="clear" w:color="auto" w:fill="auto"/>
            <w:noWrap/>
          </w:tcPr>
          <w:p w:rsidR="009C66B9" w:rsidRPr="001B7CD5" w:rsidRDefault="009C66B9" w:rsidP="00704CC0">
            <w:pPr>
              <w:tabs>
                <w:tab w:val="left" w:pos="567"/>
                <w:tab w:val="left" w:pos="1134"/>
                <w:tab w:val="left" w:pos="1701"/>
                <w:tab w:val="left" w:pos="2268"/>
              </w:tabs>
              <w:jc w:val="right"/>
              <w:rPr>
                <w:rFonts w:cs="Arial"/>
                <w:sz w:val="18"/>
                <w:szCs w:val="18"/>
              </w:rPr>
            </w:pPr>
            <w:r w:rsidRPr="001B7CD5">
              <w:rPr>
                <w:rFonts w:cs="Arial"/>
                <w:sz w:val="18"/>
                <w:szCs w:val="18"/>
              </w:rPr>
              <w:t>-</w:t>
            </w:r>
          </w:p>
        </w:tc>
      </w:tr>
      <w:tr w:rsidR="009C66B9" w:rsidRPr="001B7CD5" w:rsidTr="00562F9C">
        <w:trPr>
          <w:trHeight w:val="20"/>
        </w:trPr>
        <w:tc>
          <w:tcPr>
            <w:tcW w:w="2500" w:type="pct"/>
            <w:shd w:val="clear" w:color="auto" w:fill="auto"/>
            <w:noWrap/>
            <w:vAlign w:val="bottom"/>
          </w:tcPr>
          <w:p w:rsidR="009C66B9" w:rsidRPr="001B7CD5" w:rsidRDefault="009C66B9" w:rsidP="00704CC0">
            <w:pPr>
              <w:keepNext/>
              <w:keepLines/>
              <w:tabs>
                <w:tab w:val="left" w:pos="567"/>
                <w:tab w:val="left" w:pos="1134"/>
                <w:tab w:val="left" w:pos="1701"/>
                <w:tab w:val="left" w:pos="2268"/>
              </w:tabs>
              <w:ind w:left="567"/>
              <w:rPr>
                <w:rFonts w:cs="Arial"/>
                <w:sz w:val="18"/>
                <w:szCs w:val="18"/>
              </w:rPr>
            </w:pPr>
            <w:r w:rsidRPr="001B7CD5">
              <w:rPr>
                <w:rFonts w:cs="Arial"/>
                <w:sz w:val="18"/>
                <w:szCs w:val="18"/>
              </w:rPr>
              <w:t>Less: Provision for impairment**</w:t>
            </w:r>
            <w:r w:rsidR="00D0282D" w:rsidRPr="001B7CD5">
              <w:rPr>
                <w:rFonts w:cs="Arial"/>
                <w:sz w:val="18"/>
                <w:szCs w:val="18"/>
              </w:rPr>
              <w:t>*</w:t>
            </w:r>
          </w:p>
        </w:tc>
        <w:tc>
          <w:tcPr>
            <w:tcW w:w="375" w:type="pct"/>
            <w:shd w:val="clear" w:color="auto" w:fill="auto"/>
            <w:noWrap/>
            <w:vAlign w:val="bottom"/>
          </w:tcPr>
          <w:p w:rsidR="009C66B9" w:rsidRPr="001B7CD5" w:rsidRDefault="009C66B9" w:rsidP="00704CC0">
            <w:pPr>
              <w:tabs>
                <w:tab w:val="left" w:pos="567"/>
                <w:tab w:val="left" w:pos="1134"/>
                <w:tab w:val="left" w:pos="1701"/>
                <w:tab w:val="left" w:pos="2268"/>
              </w:tabs>
              <w:jc w:val="center"/>
              <w:rPr>
                <w:rFonts w:cs="Arial"/>
                <w:sz w:val="18"/>
                <w:szCs w:val="18"/>
              </w:rPr>
            </w:pPr>
          </w:p>
        </w:tc>
        <w:tc>
          <w:tcPr>
            <w:tcW w:w="1000" w:type="pct"/>
            <w:tcBorders>
              <w:bottom w:val="single" w:sz="4" w:space="0" w:color="auto"/>
            </w:tcBorders>
            <w:shd w:val="clear" w:color="auto" w:fill="auto"/>
            <w:noWrap/>
          </w:tcPr>
          <w:p w:rsidR="009C66B9" w:rsidRPr="001B7CD5" w:rsidRDefault="006C5AD4" w:rsidP="00704CC0">
            <w:pPr>
              <w:tabs>
                <w:tab w:val="left" w:pos="567"/>
                <w:tab w:val="left" w:pos="1134"/>
                <w:tab w:val="left" w:pos="1701"/>
                <w:tab w:val="left" w:pos="2268"/>
              </w:tabs>
              <w:jc w:val="right"/>
              <w:rPr>
                <w:rFonts w:cs="Arial"/>
                <w:b/>
                <w:sz w:val="18"/>
                <w:szCs w:val="18"/>
              </w:rPr>
            </w:pPr>
            <w:r w:rsidRPr="001B7CD5">
              <w:rPr>
                <w:rFonts w:cs="Arial"/>
                <w:b/>
                <w:sz w:val="18"/>
                <w:szCs w:val="18"/>
              </w:rPr>
              <w:t>(15,</w:t>
            </w:r>
            <w:r w:rsidR="007B789B" w:rsidRPr="001B7CD5">
              <w:rPr>
                <w:rFonts w:cs="Arial"/>
                <w:b/>
                <w:sz w:val="18"/>
                <w:szCs w:val="18"/>
              </w:rPr>
              <w:t>900</w:t>
            </w:r>
            <w:r w:rsidRPr="001B7CD5">
              <w:rPr>
                <w:rFonts w:cs="Arial"/>
                <w:b/>
                <w:sz w:val="18"/>
                <w:szCs w:val="18"/>
              </w:rPr>
              <w:t>)</w:t>
            </w:r>
          </w:p>
        </w:tc>
        <w:tc>
          <w:tcPr>
            <w:tcW w:w="125" w:type="pct"/>
            <w:shd w:val="clear" w:color="auto" w:fill="auto"/>
            <w:noWrap/>
          </w:tcPr>
          <w:p w:rsidR="009C66B9" w:rsidRPr="001B7CD5" w:rsidRDefault="009C66B9" w:rsidP="00704CC0">
            <w:pPr>
              <w:tabs>
                <w:tab w:val="left" w:pos="567"/>
                <w:tab w:val="left" w:pos="1134"/>
                <w:tab w:val="left" w:pos="1701"/>
                <w:tab w:val="left" w:pos="2268"/>
              </w:tabs>
              <w:jc w:val="right"/>
              <w:rPr>
                <w:rFonts w:cs="Arial"/>
                <w:sz w:val="18"/>
                <w:szCs w:val="18"/>
              </w:rPr>
            </w:pPr>
          </w:p>
        </w:tc>
        <w:tc>
          <w:tcPr>
            <w:tcW w:w="1000" w:type="pct"/>
            <w:tcBorders>
              <w:bottom w:val="single" w:sz="4" w:space="0" w:color="auto"/>
            </w:tcBorders>
            <w:shd w:val="clear" w:color="auto" w:fill="auto"/>
            <w:noWrap/>
          </w:tcPr>
          <w:p w:rsidR="009C66B9" w:rsidRPr="001B7CD5" w:rsidRDefault="009C66B9" w:rsidP="00704CC0">
            <w:pPr>
              <w:tabs>
                <w:tab w:val="left" w:pos="567"/>
                <w:tab w:val="left" w:pos="1134"/>
                <w:tab w:val="left" w:pos="1701"/>
                <w:tab w:val="left" w:pos="2268"/>
              </w:tabs>
              <w:jc w:val="right"/>
              <w:rPr>
                <w:rFonts w:cs="Arial"/>
                <w:sz w:val="18"/>
                <w:szCs w:val="18"/>
              </w:rPr>
            </w:pPr>
            <w:r w:rsidRPr="001B7CD5">
              <w:rPr>
                <w:rFonts w:cs="Arial"/>
                <w:sz w:val="18"/>
                <w:szCs w:val="18"/>
              </w:rPr>
              <w:t>(14,945)</w:t>
            </w:r>
          </w:p>
        </w:tc>
      </w:tr>
      <w:tr w:rsidR="009C66B9" w:rsidRPr="001B7CD5" w:rsidTr="00562F9C">
        <w:trPr>
          <w:trHeight w:val="20"/>
        </w:trPr>
        <w:tc>
          <w:tcPr>
            <w:tcW w:w="2500" w:type="pct"/>
            <w:shd w:val="clear" w:color="auto" w:fill="auto"/>
            <w:noWrap/>
            <w:vAlign w:val="bottom"/>
          </w:tcPr>
          <w:p w:rsidR="009C66B9" w:rsidRPr="001B7CD5" w:rsidRDefault="009C66B9" w:rsidP="00704CC0">
            <w:pPr>
              <w:tabs>
                <w:tab w:val="left" w:pos="567"/>
                <w:tab w:val="left" w:pos="1134"/>
                <w:tab w:val="left" w:pos="1701"/>
                <w:tab w:val="left" w:pos="2268"/>
              </w:tabs>
              <w:rPr>
                <w:rFonts w:cs="Arial"/>
                <w:sz w:val="18"/>
                <w:szCs w:val="18"/>
              </w:rPr>
            </w:pPr>
          </w:p>
        </w:tc>
        <w:tc>
          <w:tcPr>
            <w:tcW w:w="375" w:type="pct"/>
            <w:shd w:val="clear" w:color="auto" w:fill="auto"/>
            <w:noWrap/>
            <w:vAlign w:val="bottom"/>
          </w:tcPr>
          <w:p w:rsidR="009C66B9" w:rsidRPr="001B7CD5" w:rsidRDefault="009C66B9" w:rsidP="00704CC0">
            <w:pPr>
              <w:tabs>
                <w:tab w:val="left" w:pos="567"/>
                <w:tab w:val="left" w:pos="1134"/>
                <w:tab w:val="left" w:pos="1701"/>
                <w:tab w:val="left" w:pos="2268"/>
              </w:tabs>
              <w:rPr>
                <w:rFonts w:cs="Arial"/>
                <w:sz w:val="18"/>
                <w:szCs w:val="18"/>
              </w:rPr>
            </w:pPr>
          </w:p>
        </w:tc>
        <w:tc>
          <w:tcPr>
            <w:tcW w:w="1000" w:type="pct"/>
            <w:tcBorders>
              <w:top w:val="single" w:sz="4" w:space="0" w:color="auto"/>
              <w:bottom w:val="single" w:sz="4" w:space="0" w:color="auto"/>
            </w:tcBorders>
            <w:shd w:val="clear" w:color="auto" w:fill="auto"/>
            <w:noWrap/>
          </w:tcPr>
          <w:p w:rsidR="009C66B9" w:rsidRPr="001B7CD5" w:rsidRDefault="006C5AD4" w:rsidP="00704CC0">
            <w:pPr>
              <w:tabs>
                <w:tab w:val="left" w:pos="567"/>
                <w:tab w:val="left" w:pos="1134"/>
                <w:tab w:val="left" w:pos="1701"/>
                <w:tab w:val="left" w:pos="2268"/>
              </w:tabs>
              <w:jc w:val="right"/>
              <w:rPr>
                <w:rFonts w:cs="Arial"/>
                <w:b/>
                <w:sz w:val="18"/>
                <w:szCs w:val="18"/>
              </w:rPr>
            </w:pPr>
            <w:r w:rsidRPr="001B7CD5">
              <w:rPr>
                <w:rFonts w:cs="Arial"/>
                <w:b/>
                <w:sz w:val="18"/>
                <w:szCs w:val="18"/>
              </w:rPr>
              <w:t>2,</w:t>
            </w:r>
            <w:r w:rsidR="007B789B" w:rsidRPr="001B7CD5">
              <w:rPr>
                <w:rFonts w:cs="Arial"/>
                <w:b/>
                <w:sz w:val="18"/>
                <w:szCs w:val="18"/>
              </w:rPr>
              <w:t>315</w:t>
            </w:r>
          </w:p>
        </w:tc>
        <w:tc>
          <w:tcPr>
            <w:tcW w:w="125" w:type="pct"/>
            <w:shd w:val="clear" w:color="auto" w:fill="auto"/>
            <w:noWrap/>
          </w:tcPr>
          <w:p w:rsidR="009C66B9" w:rsidRPr="001B7CD5" w:rsidRDefault="009C66B9" w:rsidP="00704CC0">
            <w:pPr>
              <w:tabs>
                <w:tab w:val="left" w:pos="567"/>
                <w:tab w:val="left" w:pos="1134"/>
                <w:tab w:val="left" w:pos="1701"/>
                <w:tab w:val="left" w:pos="2268"/>
              </w:tabs>
              <w:jc w:val="right"/>
              <w:rPr>
                <w:rFonts w:cs="Arial"/>
                <w:sz w:val="18"/>
                <w:szCs w:val="18"/>
              </w:rPr>
            </w:pPr>
          </w:p>
        </w:tc>
        <w:tc>
          <w:tcPr>
            <w:tcW w:w="1000" w:type="pct"/>
            <w:tcBorders>
              <w:top w:val="single" w:sz="4" w:space="0" w:color="auto"/>
              <w:bottom w:val="single" w:sz="4" w:space="0" w:color="auto"/>
            </w:tcBorders>
            <w:shd w:val="clear" w:color="auto" w:fill="auto"/>
            <w:noWrap/>
          </w:tcPr>
          <w:p w:rsidR="009C66B9" w:rsidRPr="001B7CD5" w:rsidRDefault="009C66B9" w:rsidP="00704CC0">
            <w:pPr>
              <w:tabs>
                <w:tab w:val="left" w:pos="567"/>
                <w:tab w:val="left" w:pos="1134"/>
                <w:tab w:val="left" w:pos="1701"/>
                <w:tab w:val="left" w:pos="2268"/>
              </w:tabs>
              <w:jc w:val="right"/>
              <w:rPr>
                <w:rFonts w:cs="Arial"/>
                <w:sz w:val="18"/>
                <w:szCs w:val="18"/>
              </w:rPr>
            </w:pPr>
            <w:r w:rsidRPr="001B7CD5">
              <w:rPr>
                <w:rFonts w:cs="Arial"/>
                <w:sz w:val="18"/>
                <w:szCs w:val="18"/>
              </w:rPr>
              <w:t>5,970</w:t>
            </w:r>
          </w:p>
        </w:tc>
      </w:tr>
    </w:tbl>
    <w:p w:rsidR="00D0282D" w:rsidRPr="00266E43" w:rsidRDefault="00ED1389" w:rsidP="00704CC0">
      <w:pPr>
        <w:pStyle w:val="Heading3-Sub-para"/>
        <w:ind w:left="567"/>
        <w:rPr>
          <w:b w:val="0"/>
          <w:i w:val="0"/>
        </w:rPr>
      </w:pPr>
      <w:r w:rsidRPr="00266E43">
        <w:rPr>
          <w:b w:val="0"/>
          <w:i w:val="0"/>
        </w:rPr>
        <w:t xml:space="preserve">* </w:t>
      </w:r>
      <w:r w:rsidR="00D0282D" w:rsidRPr="00266E43">
        <w:rPr>
          <w:b w:val="0"/>
          <w:i w:val="0"/>
        </w:rPr>
        <w:t xml:space="preserve">Reclassification in the Statement of Financial Position as at 31 August 2012: </w:t>
      </w:r>
    </w:p>
    <w:p w:rsidR="00D0282D" w:rsidRPr="00A76890" w:rsidRDefault="00D0282D" w:rsidP="00704CC0">
      <w:pPr>
        <w:pStyle w:val="Normal3-Sub-para"/>
        <w:spacing w:line="240" w:lineRule="auto"/>
        <w:ind w:left="567"/>
      </w:pPr>
      <w:r w:rsidRPr="00A76890">
        <w:t>During the current year, the management has re-classified the “Assets held for distribution to owners” as “Investment in subsidiaries” in the Company’s Statement of Financial Position. As a consequence, comparative figures for the previous period presented have been reclassified.</w:t>
      </w:r>
    </w:p>
    <w:p w:rsidR="00D0282D" w:rsidRPr="00A76890" w:rsidRDefault="00D0282D" w:rsidP="00704CC0">
      <w:pPr>
        <w:pStyle w:val="Normal3-Sub-para"/>
        <w:spacing w:line="240" w:lineRule="auto"/>
        <w:ind w:left="567"/>
      </w:pPr>
      <w:r w:rsidRPr="00A76890">
        <w:t>The re-presented numbers do not alter the underlying business performance of the Company and have no impact on the Company’s Statement of Comprehensive Income. As per the assessment of the management, this changed presentation provides information that is in accordance with IFRS and does not impair the comparability of the financial statements.</w:t>
      </w:r>
    </w:p>
    <w:p w:rsidR="0092140F" w:rsidRPr="00A76890" w:rsidRDefault="0092140F" w:rsidP="00704CC0">
      <w:pPr>
        <w:pStyle w:val="Normal3-Sub-para"/>
        <w:spacing w:line="240" w:lineRule="auto"/>
        <w:ind w:left="567"/>
      </w:pPr>
      <w:r w:rsidRPr="00A76890">
        <w:t>*</w:t>
      </w:r>
      <w:r w:rsidR="00D0282D" w:rsidRPr="00A76890">
        <w:t>*</w:t>
      </w:r>
      <w:r w:rsidRPr="00A76890">
        <w:t xml:space="preserve"> Amounts have been rounded to the nearest thousand.</w:t>
      </w:r>
    </w:p>
    <w:p w:rsidR="002A30E5" w:rsidRPr="00A76890" w:rsidRDefault="0092140F" w:rsidP="00704CC0">
      <w:pPr>
        <w:pStyle w:val="Normal3-Sub-para"/>
        <w:spacing w:line="240" w:lineRule="auto"/>
        <w:ind w:left="567"/>
      </w:pPr>
      <w:r w:rsidRPr="00A76890">
        <w:t>**</w:t>
      </w:r>
      <w:r w:rsidR="00D0282D" w:rsidRPr="00A76890">
        <w:t>*</w:t>
      </w:r>
      <w:r w:rsidRPr="00A76890">
        <w:t xml:space="preserve"> As of 31 August 201</w:t>
      </w:r>
      <w:r w:rsidR="009C66B9" w:rsidRPr="00A76890">
        <w:t>3</w:t>
      </w:r>
      <w:r w:rsidRPr="00A76890">
        <w:t xml:space="preserve">, in the Company financial statements, an impairment analysis of the investment in subsidiaries was </w:t>
      </w:r>
      <w:r w:rsidR="00D665B8" w:rsidRPr="00A76890">
        <w:t xml:space="preserve">carried </w:t>
      </w:r>
      <w:r w:rsidR="00F159D4" w:rsidRPr="00A76890">
        <w:t>out and</w:t>
      </w:r>
      <w:r w:rsidRPr="00A76890">
        <w:t xml:space="preserve"> consequently, an additional impairment loss of GBP </w:t>
      </w:r>
      <w:r w:rsidR="007B789B" w:rsidRPr="00A76890">
        <w:t>95</w:t>
      </w:r>
      <w:r w:rsidR="00A70CC6" w:rsidRPr="00A76890">
        <w:t>5</w:t>
      </w:r>
      <w:r w:rsidRPr="00A76890">
        <w:t xml:space="preserve"> thousand was recorded on account of </w:t>
      </w:r>
      <w:r w:rsidR="008D603F" w:rsidRPr="00A76890">
        <w:t>the</w:t>
      </w:r>
      <w:r w:rsidRPr="00A76890">
        <w:t xml:space="preserve"> decline in the value of investments made through </w:t>
      </w:r>
      <w:r w:rsidR="006533DA" w:rsidRPr="00A76890">
        <w:t>G</w:t>
      </w:r>
      <w:r w:rsidRPr="00A76890">
        <w:t>roup subsidiaries.</w:t>
      </w:r>
    </w:p>
    <w:p w:rsidR="0092140F" w:rsidRPr="00A76890" w:rsidRDefault="0092140F" w:rsidP="00704CC0">
      <w:pPr>
        <w:pStyle w:val="Normal2-Para"/>
        <w:keepNext/>
        <w:keepLines/>
        <w:spacing w:line="240" w:lineRule="auto"/>
        <w:ind w:left="567"/>
      </w:pPr>
      <w:r w:rsidRPr="00A76890">
        <w:t>The Group comprises the following entities:</w:t>
      </w:r>
    </w:p>
    <w:tbl>
      <w:tblPr>
        <w:tblW w:w="8953" w:type="dxa"/>
        <w:tblLayout w:type="fixed"/>
        <w:tblCellMar>
          <w:top w:w="28" w:type="dxa"/>
          <w:left w:w="57" w:type="dxa"/>
          <w:bottom w:w="28" w:type="dxa"/>
          <w:right w:w="57" w:type="dxa"/>
        </w:tblCellMar>
        <w:tblLook w:val="0000"/>
      </w:tblPr>
      <w:tblGrid>
        <w:gridCol w:w="4179"/>
        <w:gridCol w:w="1875"/>
        <w:gridCol w:w="1449"/>
        <w:gridCol w:w="1450"/>
      </w:tblGrid>
      <w:tr w:rsidR="00130F0B" w:rsidRPr="00130F0B" w:rsidTr="00562F9C">
        <w:trPr>
          <w:trHeight w:val="20"/>
          <w:tblHeader/>
        </w:trPr>
        <w:tc>
          <w:tcPr>
            <w:tcW w:w="2334" w:type="pct"/>
            <w:tcBorders>
              <w:top w:val="nil"/>
              <w:left w:val="nil"/>
              <w:right w:val="nil"/>
            </w:tcBorders>
            <w:shd w:val="clear" w:color="auto" w:fill="auto"/>
            <w:noWrap/>
            <w:vAlign w:val="bottom"/>
          </w:tcPr>
          <w:p w:rsidR="00130F0B" w:rsidRPr="00130F0B" w:rsidRDefault="00130F0B" w:rsidP="00704CC0">
            <w:pPr>
              <w:keepNext/>
              <w:keepLines/>
              <w:tabs>
                <w:tab w:val="left" w:pos="567"/>
                <w:tab w:val="left" w:pos="1134"/>
                <w:tab w:val="left" w:pos="1701"/>
                <w:tab w:val="left" w:pos="2268"/>
              </w:tabs>
              <w:ind w:left="567"/>
              <w:rPr>
                <w:rFonts w:cs="Arial"/>
                <w:b/>
                <w:sz w:val="18"/>
                <w:szCs w:val="18"/>
              </w:rPr>
            </w:pPr>
            <w:r w:rsidRPr="00130F0B">
              <w:rPr>
                <w:rFonts w:cs="Arial"/>
                <w:b/>
                <w:sz w:val="18"/>
                <w:szCs w:val="18"/>
              </w:rPr>
              <w:t>Name of Subsidiary</w:t>
            </w:r>
          </w:p>
        </w:tc>
        <w:tc>
          <w:tcPr>
            <w:tcW w:w="1047" w:type="pct"/>
            <w:tcBorders>
              <w:top w:val="nil"/>
              <w:left w:val="nil"/>
              <w:right w:val="nil"/>
            </w:tcBorders>
            <w:shd w:val="clear" w:color="auto" w:fill="auto"/>
            <w:noWrap/>
            <w:vAlign w:val="bottom"/>
          </w:tcPr>
          <w:p w:rsidR="00130F0B" w:rsidRPr="00130F0B" w:rsidRDefault="00130F0B" w:rsidP="00704CC0">
            <w:pPr>
              <w:keepNext/>
              <w:keepLines/>
              <w:tabs>
                <w:tab w:val="left" w:pos="567"/>
                <w:tab w:val="left" w:pos="1134"/>
                <w:tab w:val="left" w:pos="1701"/>
                <w:tab w:val="left" w:pos="2268"/>
              </w:tabs>
              <w:jc w:val="right"/>
              <w:rPr>
                <w:rFonts w:cs="Arial"/>
                <w:b/>
                <w:sz w:val="18"/>
                <w:szCs w:val="18"/>
              </w:rPr>
            </w:pPr>
            <w:r w:rsidRPr="00130F0B">
              <w:rPr>
                <w:rFonts w:cs="Arial"/>
                <w:b/>
                <w:sz w:val="18"/>
                <w:szCs w:val="18"/>
              </w:rPr>
              <w:t>Incorporation</w:t>
            </w:r>
          </w:p>
          <w:p w:rsidR="00130F0B" w:rsidRPr="00130F0B" w:rsidRDefault="00130F0B" w:rsidP="00704CC0">
            <w:pPr>
              <w:keepNext/>
              <w:keepLines/>
              <w:tabs>
                <w:tab w:val="left" w:pos="567"/>
                <w:tab w:val="left" w:pos="1134"/>
                <w:tab w:val="left" w:pos="1701"/>
                <w:tab w:val="left" w:pos="2268"/>
              </w:tabs>
              <w:jc w:val="right"/>
              <w:rPr>
                <w:rFonts w:cs="Arial"/>
                <w:b/>
                <w:sz w:val="18"/>
                <w:szCs w:val="18"/>
              </w:rPr>
            </w:pPr>
            <w:r w:rsidRPr="00130F0B">
              <w:rPr>
                <w:rFonts w:cs="Arial"/>
                <w:b/>
                <w:sz w:val="18"/>
                <w:szCs w:val="18"/>
              </w:rPr>
              <w:t>(or registration)</w:t>
            </w:r>
          </w:p>
          <w:p w:rsidR="00130F0B" w:rsidRPr="00130F0B" w:rsidRDefault="00130F0B" w:rsidP="00704CC0">
            <w:pPr>
              <w:keepNext/>
              <w:keepLines/>
              <w:tabs>
                <w:tab w:val="left" w:pos="567"/>
                <w:tab w:val="left" w:pos="1134"/>
                <w:tab w:val="left" w:pos="1701"/>
                <w:tab w:val="left" w:pos="2268"/>
              </w:tabs>
              <w:jc w:val="right"/>
              <w:rPr>
                <w:rFonts w:cs="Arial"/>
                <w:b/>
                <w:sz w:val="18"/>
                <w:szCs w:val="18"/>
              </w:rPr>
            </w:pPr>
            <w:r w:rsidRPr="00130F0B">
              <w:rPr>
                <w:rFonts w:cs="Arial"/>
                <w:b/>
                <w:sz w:val="18"/>
                <w:szCs w:val="18"/>
              </w:rPr>
              <w:t>and operation</w:t>
            </w:r>
          </w:p>
        </w:tc>
        <w:tc>
          <w:tcPr>
            <w:tcW w:w="809" w:type="pct"/>
            <w:tcBorders>
              <w:top w:val="nil"/>
              <w:left w:val="nil"/>
              <w:right w:val="nil"/>
            </w:tcBorders>
            <w:shd w:val="clear" w:color="auto" w:fill="auto"/>
            <w:noWrap/>
            <w:vAlign w:val="bottom"/>
          </w:tcPr>
          <w:p w:rsidR="00130F0B" w:rsidRPr="00130F0B" w:rsidRDefault="00130F0B" w:rsidP="00704CC0">
            <w:pPr>
              <w:keepNext/>
              <w:keepLines/>
              <w:tabs>
                <w:tab w:val="left" w:pos="567"/>
                <w:tab w:val="left" w:pos="1134"/>
                <w:tab w:val="left" w:pos="1701"/>
                <w:tab w:val="left" w:pos="2268"/>
              </w:tabs>
              <w:jc w:val="right"/>
              <w:rPr>
                <w:rFonts w:cs="Arial"/>
                <w:b/>
                <w:sz w:val="18"/>
                <w:szCs w:val="18"/>
              </w:rPr>
            </w:pPr>
            <w:r w:rsidRPr="00130F0B">
              <w:rPr>
                <w:rFonts w:cs="Arial"/>
                <w:b/>
                <w:sz w:val="18"/>
                <w:szCs w:val="18"/>
              </w:rPr>
              <w:t>Proportion</w:t>
            </w:r>
          </w:p>
          <w:p w:rsidR="00130F0B" w:rsidRPr="00130F0B" w:rsidRDefault="00130F0B" w:rsidP="00704CC0">
            <w:pPr>
              <w:keepNext/>
              <w:keepLines/>
              <w:tabs>
                <w:tab w:val="left" w:pos="567"/>
                <w:tab w:val="left" w:pos="1134"/>
                <w:tab w:val="left" w:pos="1701"/>
                <w:tab w:val="left" w:pos="2268"/>
              </w:tabs>
              <w:jc w:val="right"/>
              <w:rPr>
                <w:rFonts w:cs="Arial"/>
                <w:b/>
                <w:sz w:val="18"/>
                <w:szCs w:val="18"/>
              </w:rPr>
            </w:pPr>
            <w:r w:rsidRPr="00130F0B">
              <w:rPr>
                <w:rFonts w:cs="Arial"/>
                <w:b/>
                <w:sz w:val="18"/>
                <w:szCs w:val="18"/>
              </w:rPr>
              <w:t>of ownership</w:t>
            </w:r>
          </w:p>
          <w:p w:rsidR="00130F0B" w:rsidRPr="00130F0B" w:rsidRDefault="00130F0B" w:rsidP="00704CC0">
            <w:pPr>
              <w:keepNext/>
              <w:keepLines/>
              <w:tabs>
                <w:tab w:val="left" w:pos="567"/>
                <w:tab w:val="left" w:pos="1134"/>
                <w:tab w:val="left" w:pos="1701"/>
                <w:tab w:val="left" w:pos="2268"/>
              </w:tabs>
              <w:jc w:val="right"/>
              <w:rPr>
                <w:rFonts w:cs="Arial"/>
                <w:b/>
                <w:sz w:val="18"/>
                <w:szCs w:val="18"/>
              </w:rPr>
            </w:pPr>
            <w:r w:rsidRPr="00130F0B">
              <w:rPr>
                <w:rFonts w:cs="Arial"/>
                <w:b/>
                <w:sz w:val="18"/>
                <w:szCs w:val="18"/>
              </w:rPr>
              <w:t>Interest</w:t>
            </w:r>
          </w:p>
        </w:tc>
        <w:tc>
          <w:tcPr>
            <w:tcW w:w="810" w:type="pct"/>
            <w:tcBorders>
              <w:top w:val="nil"/>
              <w:left w:val="nil"/>
              <w:right w:val="nil"/>
            </w:tcBorders>
            <w:shd w:val="clear" w:color="auto" w:fill="auto"/>
            <w:noWrap/>
            <w:vAlign w:val="bottom"/>
          </w:tcPr>
          <w:p w:rsidR="00130F0B" w:rsidRPr="00130F0B" w:rsidRDefault="00130F0B" w:rsidP="00704CC0">
            <w:pPr>
              <w:keepNext/>
              <w:keepLines/>
              <w:tabs>
                <w:tab w:val="left" w:pos="567"/>
                <w:tab w:val="left" w:pos="1134"/>
                <w:tab w:val="left" w:pos="1701"/>
                <w:tab w:val="left" w:pos="2268"/>
              </w:tabs>
              <w:jc w:val="right"/>
              <w:rPr>
                <w:rFonts w:cs="Arial"/>
                <w:b/>
                <w:sz w:val="18"/>
                <w:szCs w:val="18"/>
              </w:rPr>
            </w:pPr>
            <w:r w:rsidRPr="00130F0B">
              <w:rPr>
                <w:rFonts w:cs="Arial"/>
                <w:b/>
                <w:sz w:val="18"/>
                <w:szCs w:val="18"/>
              </w:rPr>
              <w:t>Proportion</w:t>
            </w:r>
          </w:p>
          <w:p w:rsidR="00130F0B" w:rsidRPr="00130F0B" w:rsidRDefault="00130F0B" w:rsidP="00704CC0">
            <w:pPr>
              <w:keepNext/>
              <w:keepLines/>
              <w:tabs>
                <w:tab w:val="left" w:pos="567"/>
                <w:tab w:val="left" w:pos="1134"/>
                <w:tab w:val="left" w:pos="1701"/>
                <w:tab w:val="left" w:pos="2268"/>
              </w:tabs>
              <w:jc w:val="right"/>
              <w:rPr>
                <w:rFonts w:cs="Arial"/>
                <w:b/>
                <w:sz w:val="18"/>
                <w:szCs w:val="18"/>
              </w:rPr>
            </w:pPr>
            <w:r w:rsidRPr="00130F0B">
              <w:rPr>
                <w:rFonts w:cs="Arial"/>
                <w:b/>
                <w:sz w:val="18"/>
                <w:szCs w:val="18"/>
              </w:rPr>
              <w:t>of voting</w:t>
            </w:r>
          </w:p>
          <w:p w:rsidR="00130F0B" w:rsidRPr="00130F0B" w:rsidRDefault="00130F0B" w:rsidP="00704CC0">
            <w:pPr>
              <w:keepNext/>
              <w:keepLines/>
              <w:tabs>
                <w:tab w:val="left" w:pos="567"/>
                <w:tab w:val="left" w:pos="1134"/>
                <w:tab w:val="left" w:pos="1701"/>
                <w:tab w:val="left" w:pos="2268"/>
              </w:tabs>
              <w:jc w:val="right"/>
              <w:rPr>
                <w:rFonts w:cs="Arial"/>
                <w:b/>
                <w:sz w:val="18"/>
                <w:szCs w:val="18"/>
              </w:rPr>
            </w:pPr>
            <w:r w:rsidRPr="00130F0B">
              <w:rPr>
                <w:rFonts w:cs="Arial"/>
                <w:b/>
                <w:sz w:val="18"/>
                <w:szCs w:val="18"/>
              </w:rPr>
              <w:t>Power</w:t>
            </w:r>
          </w:p>
        </w:tc>
      </w:tr>
      <w:tr w:rsidR="0092140F" w:rsidRPr="00130F0B" w:rsidTr="00562F9C">
        <w:trPr>
          <w:trHeight w:val="20"/>
        </w:trPr>
        <w:tc>
          <w:tcPr>
            <w:tcW w:w="2334" w:type="pct"/>
            <w:tcBorders>
              <w:left w:val="nil"/>
              <w:bottom w:val="nil"/>
              <w:right w:val="nil"/>
            </w:tcBorders>
            <w:shd w:val="clear" w:color="auto" w:fill="auto"/>
            <w:noWrap/>
            <w:vAlign w:val="bottom"/>
          </w:tcPr>
          <w:p w:rsidR="0092140F" w:rsidRPr="00130F0B" w:rsidRDefault="0092140F" w:rsidP="00704CC0">
            <w:pPr>
              <w:keepNext/>
              <w:keepLines/>
              <w:tabs>
                <w:tab w:val="left" w:pos="567"/>
                <w:tab w:val="left" w:pos="1134"/>
                <w:tab w:val="left" w:pos="1701"/>
                <w:tab w:val="left" w:pos="2268"/>
              </w:tabs>
              <w:ind w:left="567"/>
              <w:rPr>
                <w:rFonts w:cs="Arial"/>
                <w:sz w:val="18"/>
                <w:szCs w:val="18"/>
              </w:rPr>
            </w:pPr>
            <w:r w:rsidRPr="00130F0B">
              <w:rPr>
                <w:rFonts w:cs="Arial"/>
                <w:sz w:val="18"/>
                <w:szCs w:val="18"/>
              </w:rPr>
              <w:t>Elephant Capital LP</w:t>
            </w:r>
          </w:p>
        </w:tc>
        <w:tc>
          <w:tcPr>
            <w:tcW w:w="1047" w:type="pct"/>
            <w:tcBorders>
              <w:left w:val="nil"/>
              <w:bottom w:val="nil"/>
              <w:right w:val="nil"/>
            </w:tcBorders>
            <w:shd w:val="clear" w:color="auto" w:fill="auto"/>
            <w:noWrap/>
            <w:vAlign w:val="bottom"/>
          </w:tcPr>
          <w:p w:rsidR="0092140F" w:rsidRPr="00130F0B" w:rsidRDefault="0092140F" w:rsidP="00704CC0">
            <w:pPr>
              <w:keepNext/>
              <w:keepLines/>
              <w:tabs>
                <w:tab w:val="left" w:pos="567"/>
                <w:tab w:val="left" w:pos="1134"/>
                <w:tab w:val="left" w:pos="1701"/>
                <w:tab w:val="left" w:pos="2268"/>
              </w:tabs>
              <w:jc w:val="right"/>
              <w:rPr>
                <w:rFonts w:cs="Arial"/>
                <w:sz w:val="18"/>
                <w:szCs w:val="18"/>
              </w:rPr>
            </w:pPr>
            <w:r w:rsidRPr="00130F0B">
              <w:rPr>
                <w:rFonts w:cs="Arial"/>
                <w:sz w:val="18"/>
                <w:szCs w:val="18"/>
              </w:rPr>
              <w:t>England</w:t>
            </w:r>
          </w:p>
        </w:tc>
        <w:tc>
          <w:tcPr>
            <w:tcW w:w="809" w:type="pct"/>
            <w:tcBorders>
              <w:left w:val="nil"/>
              <w:bottom w:val="nil"/>
              <w:right w:val="nil"/>
            </w:tcBorders>
            <w:shd w:val="clear" w:color="auto" w:fill="auto"/>
            <w:noWrap/>
            <w:vAlign w:val="bottom"/>
          </w:tcPr>
          <w:p w:rsidR="0092140F" w:rsidRPr="00130F0B" w:rsidRDefault="0092140F" w:rsidP="00704CC0">
            <w:pPr>
              <w:keepNext/>
              <w:keepLines/>
              <w:tabs>
                <w:tab w:val="left" w:pos="567"/>
                <w:tab w:val="left" w:pos="1134"/>
                <w:tab w:val="left" w:pos="1701"/>
                <w:tab w:val="left" w:pos="2268"/>
              </w:tabs>
              <w:jc w:val="right"/>
              <w:rPr>
                <w:rFonts w:cs="Arial"/>
                <w:sz w:val="18"/>
                <w:szCs w:val="18"/>
              </w:rPr>
            </w:pPr>
            <w:r w:rsidRPr="00130F0B">
              <w:rPr>
                <w:rFonts w:cs="Arial"/>
                <w:sz w:val="18"/>
                <w:szCs w:val="18"/>
              </w:rPr>
              <w:t>100%</w:t>
            </w:r>
          </w:p>
        </w:tc>
        <w:tc>
          <w:tcPr>
            <w:tcW w:w="810" w:type="pct"/>
            <w:tcBorders>
              <w:left w:val="nil"/>
              <w:bottom w:val="nil"/>
              <w:right w:val="nil"/>
            </w:tcBorders>
            <w:shd w:val="clear" w:color="auto" w:fill="auto"/>
            <w:noWrap/>
            <w:vAlign w:val="bottom"/>
          </w:tcPr>
          <w:p w:rsidR="0092140F" w:rsidRPr="00130F0B" w:rsidRDefault="0092140F" w:rsidP="00704CC0">
            <w:pPr>
              <w:keepNext/>
              <w:keepLines/>
              <w:tabs>
                <w:tab w:val="left" w:pos="567"/>
                <w:tab w:val="left" w:pos="1134"/>
                <w:tab w:val="left" w:pos="1701"/>
                <w:tab w:val="left" w:pos="2268"/>
              </w:tabs>
              <w:jc w:val="right"/>
              <w:rPr>
                <w:rFonts w:cs="Arial"/>
                <w:sz w:val="18"/>
                <w:szCs w:val="18"/>
              </w:rPr>
            </w:pPr>
            <w:r w:rsidRPr="00130F0B">
              <w:rPr>
                <w:rFonts w:cs="Arial"/>
                <w:sz w:val="18"/>
                <w:szCs w:val="18"/>
              </w:rPr>
              <w:t>100%</w:t>
            </w:r>
          </w:p>
        </w:tc>
      </w:tr>
      <w:tr w:rsidR="0092140F" w:rsidRPr="00130F0B" w:rsidTr="00562F9C">
        <w:trPr>
          <w:trHeight w:val="20"/>
        </w:trPr>
        <w:tc>
          <w:tcPr>
            <w:tcW w:w="2334" w:type="pct"/>
            <w:tcBorders>
              <w:top w:val="nil"/>
              <w:left w:val="nil"/>
              <w:bottom w:val="nil"/>
              <w:right w:val="nil"/>
            </w:tcBorders>
            <w:shd w:val="clear" w:color="auto" w:fill="auto"/>
            <w:noWrap/>
            <w:vAlign w:val="bottom"/>
          </w:tcPr>
          <w:p w:rsidR="0092140F" w:rsidRPr="00130F0B" w:rsidRDefault="0092140F" w:rsidP="00704CC0">
            <w:pPr>
              <w:keepNext/>
              <w:keepLines/>
              <w:tabs>
                <w:tab w:val="left" w:pos="567"/>
                <w:tab w:val="left" w:pos="1134"/>
                <w:tab w:val="left" w:pos="1701"/>
                <w:tab w:val="left" w:pos="2268"/>
              </w:tabs>
              <w:ind w:left="567"/>
              <w:rPr>
                <w:rFonts w:cs="Arial"/>
                <w:sz w:val="18"/>
                <w:szCs w:val="18"/>
              </w:rPr>
            </w:pPr>
            <w:r w:rsidRPr="00130F0B">
              <w:rPr>
                <w:rFonts w:cs="Arial"/>
                <w:sz w:val="18"/>
                <w:szCs w:val="18"/>
              </w:rPr>
              <w:t>Tusk Investments 1 Limited</w:t>
            </w:r>
          </w:p>
        </w:tc>
        <w:tc>
          <w:tcPr>
            <w:tcW w:w="1047" w:type="pct"/>
            <w:tcBorders>
              <w:top w:val="nil"/>
              <w:left w:val="nil"/>
              <w:bottom w:val="nil"/>
              <w:right w:val="nil"/>
            </w:tcBorders>
            <w:shd w:val="clear" w:color="auto" w:fill="auto"/>
            <w:noWrap/>
            <w:vAlign w:val="bottom"/>
          </w:tcPr>
          <w:p w:rsidR="0092140F" w:rsidRPr="00130F0B" w:rsidRDefault="0092140F" w:rsidP="00704CC0">
            <w:pPr>
              <w:keepNext/>
              <w:keepLines/>
              <w:tabs>
                <w:tab w:val="left" w:pos="567"/>
                <w:tab w:val="left" w:pos="1134"/>
                <w:tab w:val="left" w:pos="1701"/>
                <w:tab w:val="left" w:pos="2268"/>
              </w:tabs>
              <w:jc w:val="right"/>
              <w:rPr>
                <w:rFonts w:cs="Arial"/>
                <w:sz w:val="18"/>
                <w:szCs w:val="18"/>
              </w:rPr>
            </w:pPr>
            <w:r w:rsidRPr="00130F0B">
              <w:rPr>
                <w:rFonts w:cs="Arial"/>
                <w:sz w:val="18"/>
                <w:szCs w:val="18"/>
              </w:rPr>
              <w:t>Mauritius</w:t>
            </w:r>
          </w:p>
        </w:tc>
        <w:tc>
          <w:tcPr>
            <w:tcW w:w="809" w:type="pct"/>
            <w:tcBorders>
              <w:top w:val="nil"/>
              <w:left w:val="nil"/>
              <w:bottom w:val="nil"/>
              <w:right w:val="nil"/>
            </w:tcBorders>
            <w:shd w:val="clear" w:color="auto" w:fill="auto"/>
            <w:noWrap/>
            <w:vAlign w:val="bottom"/>
          </w:tcPr>
          <w:p w:rsidR="0092140F" w:rsidRPr="00130F0B" w:rsidRDefault="0092140F" w:rsidP="00704CC0">
            <w:pPr>
              <w:keepNext/>
              <w:keepLines/>
              <w:tabs>
                <w:tab w:val="left" w:pos="567"/>
                <w:tab w:val="left" w:pos="1134"/>
                <w:tab w:val="left" w:pos="1701"/>
                <w:tab w:val="left" w:pos="2268"/>
              </w:tabs>
              <w:jc w:val="right"/>
              <w:rPr>
                <w:rFonts w:cs="Arial"/>
                <w:sz w:val="18"/>
                <w:szCs w:val="18"/>
              </w:rPr>
            </w:pPr>
            <w:r w:rsidRPr="00130F0B">
              <w:rPr>
                <w:rFonts w:cs="Arial"/>
                <w:sz w:val="18"/>
                <w:szCs w:val="18"/>
              </w:rPr>
              <w:t>100%</w:t>
            </w:r>
          </w:p>
        </w:tc>
        <w:tc>
          <w:tcPr>
            <w:tcW w:w="810" w:type="pct"/>
            <w:tcBorders>
              <w:top w:val="nil"/>
              <w:left w:val="nil"/>
              <w:bottom w:val="nil"/>
              <w:right w:val="nil"/>
            </w:tcBorders>
            <w:shd w:val="clear" w:color="auto" w:fill="auto"/>
            <w:noWrap/>
            <w:vAlign w:val="bottom"/>
          </w:tcPr>
          <w:p w:rsidR="0092140F" w:rsidRPr="00130F0B" w:rsidRDefault="0092140F" w:rsidP="00704CC0">
            <w:pPr>
              <w:keepNext/>
              <w:keepLines/>
              <w:tabs>
                <w:tab w:val="left" w:pos="567"/>
                <w:tab w:val="left" w:pos="1134"/>
                <w:tab w:val="left" w:pos="1701"/>
                <w:tab w:val="left" w:pos="2268"/>
              </w:tabs>
              <w:jc w:val="right"/>
              <w:rPr>
                <w:rFonts w:cs="Arial"/>
                <w:sz w:val="18"/>
                <w:szCs w:val="18"/>
              </w:rPr>
            </w:pPr>
            <w:r w:rsidRPr="00130F0B">
              <w:rPr>
                <w:rFonts w:cs="Arial"/>
                <w:sz w:val="18"/>
                <w:szCs w:val="18"/>
              </w:rPr>
              <w:t>100%</w:t>
            </w:r>
          </w:p>
        </w:tc>
      </w:tr>
      <w:tr w:rsidR="0092140F" w:rsidRPr="00130F0B" w:rsidTr="00562F9C">
        <w:trPr>
          <w:trHeight w:val="20"/>
        </w:trPr>
        <w:tc>
          <w:tcPr>
            <w:tcW w:w="2334" w:type="pct"/>
            <w:tcBorders>
              <w:top w:val="nil"/>
              <w:left w:val="nil"/>
              <w:bottom w:val="nil"/>
              <w:right w:val="nil"/>
            </w:tcBorders>
            <w:shd w:val="clear" w:color="auto" w:fill="auto"/>
            <w:noWrap/>
            <w:vAlign w:val="bottom"/>
          </w:tcPr>
          <w:p w:rsidR="0092140F" w:rsidRPr="00130F0B" w:rsidRDefault="0092140F" w:rsidP="00704CC0">
            <w:pPr>
              <w:keepNext/>
              <w:keepLines/>
              <w:tabs>
                <w:tab w:val="left" w:pos="567"/>
                <w:tab w:val="left" w:pos="1134"/>
                <w:tab w:val="left" w:pos="1701"/>
                <w:tab w:val="left" w:pos="2268"/>
              </w:tabs>
              <w:ind w:left="567"/>
              <w:rPr>
                <w:rFonts w:cs="Arial"/>
                <w:sz w:val="18"/>
                <w:szCs w:val="18"/>
              </w:rPr>
            </w:pPr>
            <w:r w:rsidRPr="00130F0B">
              <w:rPr>
                <w:rFonts w:cs="Arial"/>
                <w:sz w:val="18"/>
                <w:szCs w:val="18"/>
              </w:rPr>
              <w:t>Tusk Investments 2 Limited</w:t>
            </w:r>
          </w:p>
        </w:tc>
        <w:tc>
          <w:tcPr>
            <w:tcW w:w="1047" w:type="pct"/>
            <w:tcBorders>
              <w:top w:val="nil"/>
              <w:left w:val="nil"/>
              <w:bottom w:val="nil"/>
              <w:right w:val="nil"/>
            </w:tcBorders>
            <w:shd w:val="clear" w:color="auto" w:fill="auto"/>
            <w:noWrap/>
            <w:vAlign w:val="bottom"/>
          </w:tcPr>
          <w:p w:rsidR="0092140F" w:rsidRPr="00130F0B" w:rsidRDefault="0092140F" w:rsidP="00704CC0">
            <w:pPr>
              <w:keepNext/>
              <w:keepLines/>
              <w:tabs>
                <w:tab w:val="left" w:pos="567"/>
                <w:tab w:val="left" w:pos="1134"/>
                <w:tab w:val="left" w:pos="1701"/>
                <w:tab w:val="left" w:pos="2268"/>
              </w:tabs>
              <w:jc w:val="right"/>
              <w:rPr>
                <w:rFonts w:cs="Arial"/>
                <w:sz w:val="18"/>
                <w:szCs w:val="18"/>
              </w:rPr>
            </w:pPr>
            <w:r w:rsidRPr="00130F0B">
              <w:rPr>
                <w:rFonts w:cs="Arial"/>
                <w:sz w:val="18"/>
                <w:szCs w:val="18"/>
              </w:rPr>
              <w:t>Mauritius</w:t>
            </w:r>
          </w:p>
        </w:tc>
        <w:tc>
          <w:tcPr>
            <w:tcW w:w="809" w:type="pct"/>
            <w:tcBorders>
              <w:top w:val="nil"/>
              <w:left w:val="nil"/>
              <w:bottom w:val="nil"/>
              <w:right w:val="nil"/>
            </w:tcBorders>
            <w:shd w:val="clear" w:color="auto" w:fill="auto"/>
            <w:noWrap/>
            <w:vAlign w:val="bottom"/>
          </w:tcPr>
          <w:p w:rsidR="0092140F" w:rsidRPr="00130F0B" w:rsidRDefault="0092140F" w:rsidP="00704CC0">
            <w:pPr>
              <w:keepNext/>
              <w:keepLines/>
              <w:tabs>
                <w:tab w:val="left" w:pos="567"/>
                <w:tab w:val="left" w:pos="1134"/>
                <w:tab w:val="left" w:pos="1701"/>
                <w:tab w:val="left" w:pos="2268"/>
              </w:tabs>
              <w:jc w:val="right"/>
              <w:rPr>
                <w:rFonts w:cs="Arial"/>
                <w:sz w:val="18"/>
                <w:szCs w:val="18"/>
              </w:rPr>
            </w:pPr>
            <w:r w:rsidRPr="00130F0B">
              <w:rPr>
                <w:rFonts w:cs="Arial"/>
                <w:sz w:val="18"/>
                <w:szCs w:val="18"/>
              </w:rPr>
              <w:t>100%</w:t>
            </w:r>
          </w:p>
        </w:tc>
        <w:tc>
          <w:tcPr>
            <w:tcW w:w="810" w:type="pct"/>
            <w:tcBorders>
              <w:top w:val="nil"/>
              <w:left w:val="nil"/>
              <w:bottom w:val="nil"/>
              <w:right w:val="nil"/>
            </w:tcBorders>
            <w:shd w:val="clear" w:color="auto" w:fill="auto"/>
            <w:noWrap/>
            <w:vAlign w:val="bottom"/>
          </w:tcPr>
          <w:p w:rsidR="0092140F" w:rsidRPr="00130F0B" w:rsidRDefault="0092140F" w:rsidP="00704CC0">
            <w:pPr>
              <w:keepNext/>
              <w:keepLines/>
              <w:tabs>
                <w:tab w:val="left" w:pos="567"/>
                <w:tab w:val="left" w:pos="1134"/>
                <w:tab w:val="left" w:pos="1701"/>
                <w:tab w:val="left" w:pos="2268"/>
              </w:tabs>
              <w:jc w:val="right"/>
              <w:rPr>
                <w:rFonts w:cs="Arial"/>
                <w:sz w:val="18"/>
                <w:szCs w:val="18"/>
              </w:rPr>
            </w:pPr>
            <w:r w:rsidRPr="00130F0B">
              <w:rPr>
                <w:rFonts w:cs="Arial"/>
                <w:sz w:val="18"/>
                <w:szCs w:val="18"/>
              </w:rPr>
              <w:t>100%</w:t>
            </w:r>
          </w:p>
        </w:tc>
      </w:tr>
      <w:tr w:rsidR="0092140F" w:rsidRPr="00130F0B" w:rsidTr="00562F9C">
        <w:trPr>
          <w:trHeight w:val="20"/>
        </w:trPr>
        <w:tc>
          <w:tcPr>
            <w:tcW w:w="2334" w:type="pct"/>
            <w:tcBorders>
              <w:top w:val="nil"/>
              <w:left w:val="nil"/>
              <w:bottom w:val="nil"/>
              <w:right w:val="nil"/>
            </w:tcBorders>
            <w:shd w:val="clear" w:color="auto" w:fill="auto"/>
            <w:noWrap/>
            <w:vAlign w:val="bottom"/>
          </w:tcPr>
          <w:p w:rsidR="0092140F" w:rsidRPr="00130F0B" w:rsidRDefault="0092140F" w:rsidP="00704CC0">
            <w:pPr>
              <w:keepNext/>
              <w:keepLines/>
              <w:tabs>
                <w:tab w:val="left" w:pos="567"/>
                <w:tab w:val="left" w:pos="1134"/>
                <w:tab w:val="left" w:pos="1701"/>
                <w:tab w:val="left" w:pos="2268"/>
              </w:tabs>
              <w:ind w:left="567"/>
              <w:rPr>
                <w:rFonts w:cs="Arial"/>
                <w:sz w:val="18"/>
                <w:szCs w:val="18"/>
              </w:rPr>
            </w:pPr>
            <w:r w:rsidRPr="00130F0B">
              <w:rPr>
                <w:rFonts w:cs="Arial"/>
                <w:sz w:val="18"/>
                <w:szCs w:val="18"/>
              </w:rPr>
              <w:t>Elephant 2 Limited</w:t>
            </w:r>
          </w:p>
        </w:tc>
        <w:tc>
          <w:tcPr>
            <w:tcW w:w="1047" w:type="pct"/>
            <w:tcBorders>
              <w:top w:val="nil"/>
              <w:left w:val="nil"/>
              <w:bottom w:val="nil"/>
              <w:right w:val="nil"/>
            </w:tcBorders>
            <w:shd w:val="clear" w:color="auto" w:fill="auto"/>
            <w:noWrap/>
            <w:vAlign w:val="bottom"/>
          </w:tcPr>
          <w:p w:rsidR="0092140F" w:rsidRPr="00130F0B" w:rsidRDefault="0092140F" w:rsidP="00704CC0">
            <w:pPr>
              <w:keepNext/>
              <w:keepLines/>
              <w:tabs>
                <w:tab w:val="left" w:pos="567"/>
                <w:tab w:val="left" w:pos="1134"/>
                <w:tab w:val="left" w:pos="1701"/>
                <w:tab w:val="left" w:pos="2268"/>
              </w:tabs>
              <w:jc w:val="right"/>
              <w:rPr>
                <w:rFonts w:cs="Arial"/>
                <w:sz w:val="18"/>
                <w:szCs w:val="18"/>
              </w:rPr>
            </w:pPr>
            <w:r w:rsidRPr="00130F0B">
              <w:rPr>
                <w:rFonts w:cs="Arial"/>
                <w:sz w:val="18"/>
                <w:szCs w:val="18"/>
              </w:rPr>
              <w:t>Guernsey</w:t>
            </w:r>
          </w:p>
        </w:tc>
        <w:tc>
          <w:tcPr>
            <w:tcW w:w="809" w:type="pct"/>
            <w:tcBorders>
              <w:top w:val="nil"/>
              <w:left w:val="nil"/>
              <w:bottom w:val="nil"/>
              <w:right w:val="nil"/>
            </w:tcBorders>
            <w:shd w:val="clear" w:color="auto" w:fill="auto"/>
            <w:noWrap/>
            <w:vAlign w:val="bottom"/>
          </w:tcPr>
          <w:p w:rsidR="0092140F" w:rsidRPr="00130F0B" w:rsidRDefault="0092140F" w:rsidP="00704CC0">
            <w:pPr>
              <w:keepNext/>
              <w:keepLines/>
              <w:tabs>
                <w:tab w:val="left" w:pos="567"/>
                <w:tab w:val="left" w:pos="1134"/>
                <w:tab w:val="left" w:pos="1701"/>
                <w:tab w:val="left" w:pos="2268"/>
              </w:tabs>
              <w:jc w:val="right"/>
              <w:rPr>
                <w:rFonts w:cs="Arial"/>
                <w:sz w:val="18"/>
                <w:szCs w:val="18"/>
              </w:rPr>
            </w:pPr>
            <w:r w:rsidRPr="00130F0B">
              <w:rPr>
                <w:rFonts w:cs="Arial"/>
                <w:sz w:val="18"/>
                <w:szCs w:val="18"/>
              </w:rPr>
              <w:t>100%</w:t>
            </w:r>
          </w:p>
        </w:tc>
        <w:tc>
          <w:tcPr>
            <w:tcW w:w="810" w:type="pct"/>
            <w:tcBorders>
              <w:top w:val="nil"/>
              <w:left w:val="nil"/>
              <w:bottom w:val="nil"/>
              <w:right w:val="nil"/>
            </w:tcBorders>
            <w:shd w:val="clear" w:color="auto" w:fill="auto"/>
            <w:noWrap/>
            <w:vAlign w:val="bottom"/>
          </w:tcPr>
          <w:p w:rsidR="0092140F" w:rsidRPr="00130F0B" w:rsidRDefault="0092140F" w:rsidP="00704CC0">
            <w:pPr>
              <w:keepNext/>
              <w:keepLines/>
              <w:tabs>
                <w:tab w:val="left" w:pos="567"/>
                <w:tab w:val="left" w:pos="1134"/>
                <w:tab w:val="left" w:pos="1701"/>
                <w:tab w:val="left" w:pos="2268"/>
              </w:tabs>
              <w:jc w:val="right"/>
              <w:rPr>
                <w:rFonts w:cs="Arial"/>
                <w:sz w:val="18"/>
                <w:szCs w:val="18"/>
              </w:rPr>
            </w:pPr>
            <w:r w:rsidRPr="00130F0B">
              <w:rPr>
                <w:rFonts w:cs="Arial"/>
                <w:sz w:val="18"/>
                <w:szCs w:val="18"/>
              </w:rPr>
              <w:t>100%</w:t>
            </w:r>
          </w:p>
        </w:tc>
      </w:tr>
      <w:tr w:rsidR="0092140F" w:rsidRPr="00130F0B" w:rsidTr="00562F9C">
        <w:trPr>
          <w:trHeight w:val="20"/>
        </w:trPr>
        <w:tc>
          <w:tcPr>
            <w:tcW w:w="2334" w:type="pct"/>
            <w:tcBorders>
              <w:top w:val="nil"/>
              <w:left w:val="nil"/>
              <w:bottom w:val="nil"/>
              <w:right w:val="nil"/>
            </w:tcBorders>
            <w:shd w:val="clear" w:color="auto" w:fill="auto"/>
            <w:noWrap/>
            <w:vAlign w:val="bottom"/>
          </w:tcPr>
          <w:p w:rsidR="0092140F" w:rsidRPr="00130F0B" w:rsidRDefault="0092140F" w:rsidP="00704CC0">
            <w:pPr>
              <w:keepNext/>
              <w:keepLines/>
              <w:tabs>
                <w:tab w:val="left" w:pos="567"/>
                <w:tab w:val="left" w:pos="1134"/>
                <w:tab w:val="left" w:pos="1701"/>
                <w:tab w:val="left" w:pos="2268"/>
              </w:tabs>
              <w:ind w:left="567"/>
              <w:rPr>
                <w:rFonts w:cs="Arial"/>
                <w:sz w:val="18"/>
                <w:szCs w:val="18"/>
              </w:rPr>
            </w:pPr>
            <w:r w:rsidRPr="00130F0B">
              <w:rPr>
                <w:rFonts w:cs="Arial"/>
                <w:sz w:val="18"/>
                <w:szCs w:val="18"/>
              </w:rPr>
              <w:t>Elephant Investments (General Partner) Limited</w:t>
            </w:r>
          </w:p>
        </w:tc>
        <w:tc>
          <w:tcPr>
            <w:tcW w:w="1047" w:type="pct"/>
            <w:tcBorders>
              <w:top w:val="nil"/>
              <w:left w:val="nil"/>
              <w:bottom w:val="nil"/>
              <w:right w:val="nil"/>
            </w:tcBorders>
            <w:shd w:val="clear" w:color="auto" w:fill="auto"/>
            <w:noWrap/>
            <w:vAlign w:val="bottom"/>
          </w:tcPr>
          <w:p w:rsidR="0092140F" w:rsidRPr="00130F0B" w:rsidRDefault="0092140F" w:rsidP="00704CC0">
            <w:pPr>
              <w:keepNext/>
              <w:keepLines/>
              <w:tabs>
                <w:tab w:val="left" w:pos="567"/>
                <w:tab w:val="left" w:pos="1134"/>
                <w:tab w:val="left" w:pos="1701"/>
                <w:tab w:val="left" w:pos="2268"/>
              </w:tabs>
              <w:jc w:val="right"/>
              <w:rPr>
                <w:rFonts w:cs="Arial"/>
                <w:sz w:val="18"/>
                <w:szCs w:val="18"/>
              </w:rPr>
            </w:pPr>
            <w:r w:rsidRPr="00130F0B">
              <w:rPr>
                <w:rFonts w:cs="Arial"/>
                <w:sz w:val="18"/>
                <w:szCs w:val="18"/>
              </w:rPr>
              <w:t>England</w:t>
            </w:r>
          </w:p>
        </w:tc>
        <w:tc>
          <w:tcPr>
            <w:tcW w:w="809" w:type="pct"/>
            <w:tcBorders>
              <w:top w:val="nil"/>
              <w:left w:val="nil"/>
              <w:bottom w:val="nil"/>
              <w:right w:val="nil"/>
            </w:tcBorders>
            <w:shd w:val="clear" w:color="auto" w:fill="auto"/>
            <w:noWrap/>
            <w:vAlign w:val="bottom"/>
          </w:tcPr>
          <w:p w:rsidR="0092140F" w:rsidRPr="00130F0B" w:rsidRDefault="0092140F" w:rsidP="00704CC0">
            <w:pPr>
              <w:keepNext/>
              <w:keepLines/>
              <w:tabs>
                <w:tab w:val="left" w:pos="567"/>
                <w:tab w:val="left" w:pos="1134"/>
                <w:tab w:val="left" w:pos="1701"/>
                <w:tab w:val="left" w:pos="2268"/>
              </w:tabs>
              <w:jc w:val="right"/>
              <w:rPr>
                <w:rFonts w:cs="Arial"/>
                <w:sz w:val="18"/>
                <w:szCs w:val="18"/>
              </w:rPr>
            </w:pPr>
            <w:r w:rsidRPr="00130F0B">
              <w:rPr>
                <w:rFonts w:cs="Arial"/>
                <w:sz w:val="18"/>
                <w:szCs w:val="18"/>
              </w:rPr>
              <w:t>100%</w:t>
            </w:r>
          </w:p>
        </w:tc>
        <w:tc>
          <w:tcPr>
            <w:tcW w:w="810" w:type="pct"/>
            <w:tcBorders>
              <w:top w:val="nil"/>
              <w:left w:val="nil"/>
              <w:bottom w:val="nil"/>
              <w:right w:val="nil"/>
            </w:tcBorders>
            <w:shd w:val="clear" w:color="auto" w:fill="auto"/>
            <w:noWrap/>
            <w:vAlign w:val="bottom"/>
          </w:tcPr>
          <w:p w:rsidR="0092140F" w:rsidRPr="00130F0B" w:rsidRDefault="0092140F" w:rsidP="00704CC0">
            <w:pPr>
              <w:keepNext/>
              <w:keepLines/>
              <w:tabs>
                <w:tab w:val="left" w:pos="567"/>
                <w:tab w:val="left" w:pos="1134"/>
                <w:tab w:val="left" w:pos="1701"/>
                <w:tab w:val="left" w:pos="2268"/>
              </w:tabs>
              <w:jc w:val="right"/>
              <w:rPr>
                <w:rFonts w:cs="Arial"/>
                <w:sz w:val="18"/>
                <w:szCs w:val="18"/>
              </w:rPr>
            </w:pPr>
            <w:r w:rsidRPr="00130F0B">
              <w:rPr>
                <w:rFonts w:cs="Arial"/>
                <w:sz w:val="18"/>
                <w:szCs w:val="18"/>
              </w:rPr>
              <w:t>100%</w:t>
            </w:r>
          </w:p>
        </w:tc>
      </w:tr>
      <w:tr w:rsidR="0092140F" w:rsidRPr="00130F0B" w:rsidTr="00562F9C">
        <w:trPr>
          <w:trHeight w:val="20"/>
        </w:trPr>
        <w:tc>
          <w:tcPr>
            <w:tcW w:w="2334" w:type="pct"/>
            <w:tcBorders>
              <w:top w:val="nil"/>
              <w:left w:val="nil"/>
              <w:bottom w:val="nil"/>
              <w:right w:val="nil"/>
            </w:tcBorders>
            <w:shd w:val="clear" w:color="auto" w:fill="auto"/>
            <w:noWrap/>
            <w:vAlign w:val="bottom"/>
          </w:tcPr>
          <w:p w:rsidR="0092140F" w:rsidRPr="00130F0B" w:rsidRDefault="0092140F" w:rsidP="00704CC0">
            <w:pPr>
              <w:keepNext/>
              <w:keepLines/>
              <w:tabs>
                <w:tab w:val="left" w:pos="567"/>
                <w:tab w:val="left" w:pos="1134"/>
                <w:tab w:val="left" w:pos="1701"/>
                <w:tab w:val="left" w:pos="2268"/>
              </w:tabs>
              <w:ind w:left="567"/>
              <w:rPr>
                <w:rFonts w:cs="Arial"/>
                <w:sz w:val="18"/>
                <w:szCs w:val="18"/>
              </w:rPr>
            </w:pPr>
            <w:r w:rsidRPr="00130F0B">
              <w:rPr>
                <w:rFonts w:cs="Arial"/>
                <w:sz w:val="18"/>
                <w:szCs w:val="18"/>
              </w:rPr>
              <w:t>Elephant Investments (Carry) Limited</w:t>
            </w:r>
          </w:p>
        </w:tc>
        <w:tc>
          <w:tcPr>
            <w:tcW w:w="1047" w:type="pct"/>
            <w:tcBorders>
              <w:top w:val="nil"/>
              <w:left w:val="nil"/>
              <w:bottom w:val="nil"/>
              <w:right w:val="nil"/>
            </w:tcBorders>
            <w:shd w:val="clear" w:color="auto" w:fill="auto"/>
            <w:noWrap/>
            <w:vAlign w:val="bottom"/>
          </w:tcPr>
          <w:p w:rsidR="0092140F" w:rsidRPr="00130F0B" w:rsidRDefault="0092140F" w:rsidP="00704CC0">
            <w:pPr>
              <w:keepNext/>
              <w:keepLines/>
              <w:tabs>
                <w:tab w:val="left" w:pos="567"/>
                <w:tab w:val="left" w:pos="1134"/>
                <w:tab w:val="left" w:pos="1701"/>
                <w:tab w:val="left" w:pos="2268"/>
              </w:tabs>
              <w:jc w:val="right"/>
              <w:rPr>
                <w:rFonts w:cs="Arial"/>
                <w:sz w:val="18"/>
                <w:szCs w:val="18"/>
              </w:rPr>
            </w:pPr>
            <w:r w:rsidRPr="00130F0B">
              <w:rPr>
                <w:rFonts w:cs="Arial"/>
                <w:sz w:val="18"/>
                <w:szCs w:val="18"/>
              </w:rPr>
              <w:t>British Virgin Islands</w:t>
            </w:r>
          </w:p>
        </w:tc>
        <w:tc>
          <w:tcPr>
            <w:tcW w:w="809" w:type="pct"/>
            <w:tcBorders>
              <w:top w:val="nil"/>
              <w:left w:val="nil"/>
              <w:bottom w:val="nil"/>
              <w:right w:val="nil"/>
            </w:tcBorders>
            <w:shd w:val="clear" w:color="auto" w:fill="auto"/>
            <w:noWrap/>
            <w:vAlign w:val="bottom"/>
          </w:tcPr>
          <w:p w:rsidR="0092140F" w:rsidRPr="00130F0B" w:rsidRDefault="0092140F" w:rsidP="00704CC0">
            <w:pPr>
              <w:keepNext/>
              <w:keepLines/>
              <w:tabs>
                <w:tab w:val="left" w:pos="567"/>
                <w:tab w:val="left" w:pos="1134"/>
                <w:tab w:val="left" w:pos="1701"/>
                <w:tab w:val="left" w:pos="2268"/>
              </w:tabs>
              <w:jc w:val="right"/>
              <w:rPr>
                <w:rFonts w:cs="Arial"/>
                <w:sz w:val="18"/>
                <w:szCs w:val="18"/>
              </w:rPr>
            </w:pPr>
            <w:r w:rsidRPr="00130F0B">
              <w:rPr>
                <w:rFonts w:cs="Arial"/>
                <w:sz w:val="18"/>
                <w:szCs w:val="18"/>
              </w:rPr>
              <w:t>100%</w:t>
            </w:r>
          </w:p>
        </w:tc>
        <w:tc>
          <w:tcPr>
            <w:tcW w:w="810" w:type="pct"/>
            <w:tcBorders>
              <w:top w:val="nil"/>
              <w:left w:val="nil"/>
              <w:bottom w:val="nil"/>
              <w:right w:val="nil"/>
            </w:tcBorders>
            <w:shd w:val="clear" w:color="auto" w:fill="auto"/>
            <w:noWrap/>
            <w:vAlign w:val="bottom"/>
          </w:tcPr>
          <w:p w:rsidR="0092140F" w:rsidRPr="00130F0B" w:rsidRDefault="0092140F" w:rsidP="00704CC0">
            <w:pPr>
              <w:keepNext/>
              <w:keepLines/>
              <w:tabs>
                <w:tab w:val="left" w:pos="567"/>
                <w:tab w:val="left" w:pos="1134"/>
                <w:tab w:val="left" w:pos="1701"/>
                <w:tab w:val="left" w:pos="2268"/>
              </w:tabs>
              <w:jc w:val="right"/>
              <w:rPr>
                <w:rFonts w:cs="Arial"/>
                <w:sz w:val="18"/>
                <w:szCs w:val="18"/>
              </w:rPr>
            </w:pPr>
            <w:r w:rsidRPr="00130F0B">
              <w:rPr>
                <w:rFonts w:cs="Arial"/>
                <w:sz w:val="18"/>
                <w:szCs w:val="18"/>
              </w:rPr>
              <w:t>100%</w:t>
            </w:r>
          </w:p>
        </w:tc>
      </w:tr>
      <w:tr w:rsidR="0092140F" w:rsidRPr="00130F0B" w:rsidTr="00562F9C">
        <w:trPr>
          <w:trHeight w:val="20"/>
        </w:trPr>
        <w:tc>
          <w:tcPr>
            <w:tcW w:w="2334" w:type="pct"/>
            <w:tcBorders>
              <w:top w:val="nil"/>
              <w:left w:val="nil"/>
              <w:bottom w:val="nil"/>
              <w:right w:val="nil"/>
            </w:tcBorders>
            <w:shd w:val="clear" w:color="auto" w:fill="auto"/>
            <w:noWrap/>
            <w:vAlign w:val="bottom"/>
          </w:tcPr>
          <w:p w:rsidR="0092140F" w:rsidRPr="00130F0B" w:rsidRDefault="0092140F" w:rsidP="00704CC0">
            <w:pPr>
              <w:tabs>
                <w:tab w:val="left" w:pos="567"/>
                <w:tab w:val="left" w:pos="1134"/>
                <w:tab w:val="left" w:pos="1701"/>
                <w:tab w:val="left" w:pos="2268"/>
              </w:tabs>
              <w:ind w:left="567"/>
              <w:rPr>
                <w:rFonts w:cs="Arial"/>
                <w:sz w:val="18"/>
                <w:szCs w:val="18"/>
              </w:rPr>
            </w:pPr>
            <w:r w:rsidRPr="00130F0B">
              <w:rPr>
                <w:rFonts w:cs="Arial"/>
                <w:sz w:val="18"/>
                <w:szCs w:val="18"/>
              </w:rPr>
              <w:t>Elephant Capital 1 Limited</w:t>
            </w:r>
          </w:p>
        </w:tc>
        <w:tc>
          <w:tcPr>
            <w:tcW w:w="1047" w:type="pct"/>
            <w:tcBorders>
              <w:top w:val="nil"/>
              <w:left w:val="nil"/>
              <w:bottom w:val="nil"/>
              <w:right w:val="nil"/>
            </w:tcBorders>
            <w:shd w:val="clear" w:color="auto" w:fill="auto"/>
            <w:noWrap/>
            <w:vAlign w:val="bottom"/>
          </w:tcPr>
          <w:p w:rsidR="0092140F" w:rsidRPr="00130F0B" w:rsidRDefault="0092140F" w:rsidP="00704CC0">
            <w:pPr>
              <w:tabs>
                <w:tab w:val="left" w:pos="567"/>
                <w:tab w:val="left" w:pos="1134"/>
                <w:tab w:val="left" w:pos="1701"/>
                <w:tab w:val="left" w:pos="2268"/>
              </w:tabs>
              <w:jc w:val="right"/>
              <w:rPr>
                <w:rFonts w:cs="Arial"/>
                <w:sz w:val="18"/>
                <w:szCs w:val="18"/>
              </w:rPr>
            </w:pPr>
            <w:r w:rsidRPr="00130F0B">
              <w:rPr>
                <w:rFonts w:cs="Arial"/>
                <w:sz w:val="18"/>
                <w:szCs w:val="18"/>
              </w:rPr>
              <w:t>Mauritius</w:t>
            </w:r>
          </w:p>
        </w:tc>
        <w:tc>
          <w:tcPr>
            <w:tcW w:w="809" w:type="pct"/>
            <w:tcBorders>
              <w:top w:val="nil"/>
              <w:left w:val="nil"/>
              <w:bottom w:val="nil"/>
              <w:right w:val="nil"/>
            </w:tcBorders>
            <w:shd w:val="clear" w:color="auto" w:fill="auto"/>
            <w:noWrap/>
            <w:vAlign w:val="bottom"/>
          </w:tcPr>
          <w:p w:rsidR="0092140F" w:rsidRPr="00130F0B" w:rsidRDefault="0092140F" w:rsidP="00704CC0">
            <w:pPr>
              <w:tabs>
                <w:tab w:val="left" w:pos="567"/>
                <w:tab w:val="left" w:pos="1134"/>
                <w:tab w:val="left" w:pos="1701"/>
                <w:tab w:val="left" w:pos="2268"/>
              </w:tabs>
              <w:jc w:val="right"/>
              <w:rPr>
                <w:rFonts w:cs="Arial"/>
                <w:sz w:val="18"/>
                <w:szCs w:val="18"/>
              </w:rPr>
            </w:pPr>
            <w:r w:rsidRPr="00130F0B">
              <w:rPr>
                <w:rFonts w:cs="Arial"/>
                <w:sz w:val="18"/>
                <w:szCs w:val="18"/>
              </w:rPr>
              <w:t>100%</w:t>
            </w:r>
          </w:p>
        </w:tc>
        <w:tc>
          <w:tcPr>
            <w:tcW w:w="810" w:type="pct"/>
            <w:tcBorders>
              <w:top w:val="nil"/>
              <w:left w:val="nil"/>
              <w:bottom w:val="nil"/>
              <w:right w:val="nil"/>
            </w:tcBorders>
            <w:shd w:val="clear" w:color="auto" w:fill="auto"/>
            <w:noWrap/>
            <w:vAlign w:val="bottom"/>
          </w:tcPr>
          <w:p w:rsidR="0092140F" w:rsidRPr="00130F0B" w:rsidRDefault="0092140F" w:rsidP="00704CC0">
            <w:pPr>
              <w:tabs>
                <w:tab w:val="left" w:pos="567"/>
                <w:tab w:val="left" w:pos="1134"/>
                <w:tab w:val="left" w:pos="1701"/>
                <w:tab w:val="left" w:pos="2268"/>
              </w:tabs>
              <w:jc w:val="right"/>
              <w:rPr>
                <w:rFonts w:cs="Arial"/>
                <w:sz w:val="18"/>
                <w:szCs w:val="18"/>
              </w:rPr>
            </w:pPr>
            <w:r w:rsidRPr="00130F0B">
              <w:rPr>
                <w:rFonts w:cs="Arial"/>
                <w:sz w:val="18"/>
                <w:szCs w:val="18"/>
              </w:rPr>
              <w:t>100%</w:t>
            </w:r>
          </w:p>
        </w:tc>
      </w:tr>
    </w:tbl>
    <w:p w:rsidR="00863596" w:rsidRPr="00130F0B" w:rsidRDefault="0092140F" w:rsidP="00704CC0">
      <w:pPr>
        <w:keepNext/>
        <w:keepLines/>
        <w:numPr>
          <w:ilvl w:val="0"/>
          <w:numId w:val="4"/>
        </w:numPr>
        <w:tabs>
          <w:tab w:val="clear" w:pos="810"/>
          <w:tab w:val="left" w:pos="567"/>
          <w:tab w:val="left" w:pos="1134"/>
          <w:tab w:val="left" w:pos="1701"/>
          <w:tab w:val="left" w:pos="2268"/>
        </w:tabs>
        <w:spacing w:before="240"/>
        <w:ind w:left="567" w:hanging="567"/>
        <w:rPr>
          <w:rFonts w:cs="Arial"/>
          <w:b/>
        </w:rPr>
      </w:pPr>
      <w:r w:rsidRPr="00130F0B">
        <w:rPr>
          <w:rFonts w:cs="Arial"/>
          <w:b/>
        </w:rPr>
        <w:t>Loans to subsidiaries</w:t>
      </w:r>
      <w:r w:rsidR="00BF62A1" w:rsidRPr="00130F0B">
        <w:rPr>
          <w:rFonts w:cs="Arial"/>
          <w:b/>
        </w:rPr>
        <w:t xml:space="preserve"> </w:t>
      </w:r>
      <w:r w:rsidRPr="00130F0B">
        <w:rPr>
          <w:rFonts w:cs="Arial"/>
          <w:b/>
        </w:rPr>
        <w:t>(Company Statement of Financial Position)</w:t>
      </w:r>
    </w:p>
    <w:p w:rsidR="0092140F" w:rsidRPr="00A76890" w:rsidRDefault="0092140F" w:rsidP="00704CC0">
      <w:pPr>
        <w:pStyle w:val="Normal2-Para"/>
        <w:keepNext/>
        <w:keepLines/>
        <w:spacing w:line="240" w:lineRule="auto"/>
        <w:ind w:left="567"/>
      </w:pPr>
      <w:r w:rsidRPr="00A76890">
        <w:t>Loans to subsidiaries in the standalone financial statements of the Company comprise the following:</w:t>
      </w:r>
    </w:p>
    <w:tbl>
      <w:tblPr>
        <w:tblW w:w="8953" w:type="dxa"/>
        <w:tblLayout w:type="fixed"/>
        <w:tblCellMar>
          <w:top w:w="28" w:type="dxa"/>
          <w:left w:w="57" w:type="dxa"/>
          <w:bottom w:w="28" w:type="dxa"/>
          <w:right w:w="57" w:type="dxa"/>
        </w:tblCellMar>
        <w:tblLook w:val="0000"/>
      </w:tblPr>
      <w:tblGrid>
        <w:gridCol w:w="4476"/>
        <w:gridCol w:w="671"/>
        <w:gridCol w:w="1791"/>
        <w:gridCol w:w="224"/>
        <w:gridCol w:w="1791"/>
      </w:tblGrid>
      <w:tr w:rsidR="00130F0B" w:rsidRPr="00A76890" w:rsidTr="00562F9C">
        <w:trPr>
          <w:tblHeader/>
        </w:trPr>
        <w:tc>
          <w:tcPr>
            <w:tcW w:w="2500" w:type="pct"/>
            <w:shd w:val="clear" w:color="auto" w:fill="auto"/>
            <w:noWrap/>
            <w:vAlign w:val="bottom"/>
          </w:tcPr>
          <w:p w:rsidR="00130F0B" w:rsidRPr="00130F0B" w:rsidRDefault="00130F0B" w:rsidP="00704CC0">
            <w:pPr>
              <w:keepNext/>
              <w:keepLines/>
              <w:tabs>
                <w:tab w:val="left" w:pos="567"/>
                <w:tab w:val="left" w:pos="1134"/>
                <w:tab w:val="left" w:pos="1701"/>
                <w:tab w:val="left" w:pos="2268"/>
              </w:tabs>
              <w:ind w:left="567"/>
              <w:rPr>
                <w:rFonts w:cs="Arial"/>
                <w:b/>
                <w:sz w:val="18"/>
                <w:szCs w:val="18"/>
              </w:rPr>
            </w:pPr>
            <w:r w:rsidRPr="00130F0B">
              <w:rPr>
                <w:rFonts w:cs="Arial"/>
                <w:b/>
                <w:sz w:val="18"/>
                <w:szCs w:val="18"/>
              </w:rPr>
              <w:t>Particulars</w:t>
            </w:r>
          </w:p>
        </w:tc>
        <w:tc>
          <w:tcPr>
            <w:tcW w:w="375" w:type="pct"/>
            <w:shd w:val="clear" w:color="auto" w:fill="auto"/>
            <w:noWrap/>
            <w:vAlign w:val="bottom"/>
          </w:tcPr>
          <w:p w:rsidR="00130F0B" w:rsidRPr="00130F0B" w:rsidRDefault="00130F0B" w:rsidP="00704CC0">
            <w:pPr>
              <w:keepNext/>
              <w:keepLines/>
              <w:tabs>
                <w:tab w:val="left" w:pos="567"/>
                <w:tab w:val="left" w:pos="1134"/>
                <w:tab w:val="left" w:pos="1701"/>
                <w:tab w:val="left" w:pos="2268"/>
              </w:tabs>
              <w:ind w:hanging="108"/>
              <w:rPr>
                <w:rFonts w:cs="Arial"/>
                <w:b/>
                <w:sz w:val="18"/>
                <w:szCs w:val="18"/>
              </w:rPr>
            </w:pPr>
          </w:p>
        </w:tc>
        <w:tc>
          <w:tcPr>
            <w:tcW w:w="1000" w:type="pct"/>
            <w:shd w:val="clear" w:color="auto" w:fill="auto"/>
            <w:noWrap/>
            <w:vAlign w:val="bottom"/>
          </w:tcPr>
          <w:p w:rsidR="00130F0B" w:rsidRPr="00130F0B" w:rsidRDefault="00130F0B" w:rsidP="00704CC0">
            <w:pPr>
              <w:keepNext/>
              <w:keepLines/>
              <w:tabs>
                <w:tab w:val="left" w:pos="567"/>
                <w:tab w:val="left" w:pos="1134"/>
                <w:tab w:val="left" w:pos="1701"/>
                <w:tab w:val="left" w:pos="2268"/>
              </w:tabs>
              <w:ind w:hanging="108"/>
              <w:jc w:val="right"/>
              <w:rPr>
                <w:rFonts w:cs="Arial"/>
                <w:b/>
                <w:sz w:val="18"/>
                <w:szCs w:val="18"/>
              </w:rPr>
            </w:pPr>
            <w:r w:rsidRPr="00130F0B">
              <w:rPr>
                <w:rFonts w:cs="Arial"/>
                <w:b/>
                <w:sz w:val="18"/>
                <w:szCs w:val="18"/>
              </w:rPr>
              <w:t>2013</w:t>
            </w:r>
          </w:p>
          <w:p w:rsidR="00130F0B" w:rsidRPr="00130F0B" w:rsidRDefault="00130F0B" w:rsidP="00704CC0">
            <w:pPr>
              <w:keepNext/>
              <w:keepLines/>
              <w:tabs>
                <w:tab w:val="left" w:pos="567"/>
                <w:tab w:val="left" w:pos="1134"/>
                <w:tab w:val="left" w:pos="1701"/>
                <w:tab w:val="left" w:pos="2268"/>
              </w:tabs>
              <w:ind w:hanging="108"/>
              <w:jc w:val="right"/>
              <w:rPr>
                <w:rFonts w:cs="Arial"/>
                <w:b/>
                <w:sz w:val="18"/>
                <w:szCs w:val="18"/>
              </w:rPr>
            </w:pPr>
            <w:r w:rsidRPr="00130F0B">
              <w:rPr>
                <w:rFonts w:cs="Arial"/>
                <w:b/>
                <w:bCs/>
                <w:sz w:val="18"/>
                <w:szCs w:val="18"/>
              </w:rPr>
              <w:t>£'000</w:t>
            </w:r>
          </w:p>
        </w:tc>
        <w:tc>
          <w:tcPr>
            <w:tcW w:w="125" w:type="pct"/>
            <w:shd w:val="clear" w:color="auto" w:fill="auto"/>
            <w:noWrap/>
            <w:vAlign w:val="bottom"/>
          </w:tcPr>
          <w:p w:rsidR="00130F0B" w:rsidRPr="00130F0B" w:rsidRDefault="00130F0B" w:rsidP="00704CC0">
            <w:pPr>
              <w:keepNext/>
              <w:keepLines/>
              <w:tabs>
                <w:tab w:val="left" w:pos="567"/>
                <w:tab w:val="left" w:pos="1134"/>
                <w:tab w:val="left" w:pos="1701"/>
                <w:tab w:val="left" w:pos="2268"/>
              </w:tabs>
              <w:ind w:hanging="108"/>
              <w:jc w:val="right"/>
              <w:rPr>
                <w:rFonts w:cs="Arial"/>
                <w:b/>
                <w:sz w:val="18"/>
                <w:szCs w:val="18"/>
              </w:rPr>
            </w:pPr>
          </w:p>
        </w:tc>
        <w:tc>
          <w:tcPr>
            <w:tcW w:w="1000" w:type="pct"/>
            <w:vAlign w:val="bottom"/>
          </w:tcPr>
          <w:p w:rsidR="00130F0B" w:rsidRPr="00130F0B" w:rsidRDefault="00130F0B" w:rsidP="00704CC0">
            <w:pPr>
              <w:keepNext/>
              <w:keepLines/>
              <w:tabs>
                <w:tab w:val="left" w:pos="567"/>
                <w:tab w:val="left" w:pos="1134"/>
                <w:tab w:val="left" w:pos="1701"/>
                <w:tab w:val="left" w:pos="2268"/>
              </w:tabs>
              <w:ind w:hanging="108"/>
              <w:jc w:val="right"/>
              <w:rPr>
                <w:rFonts w:cs="Arial"/>
                <w:sz w:val="18"/>
                <w:szCs w:val="18"/>
              </w:rPr>
            </w:pPr>
            <w:r w:rsidRPr="00130F0B">
              <w:rPr>
                <w:rFonts w:cs="Arial"/>
                <w:sz w:val="18"/>
                <w:szCs w:val="18"/>
              </w:rPr>
              <w:t>2012</w:t>
            </w:r>
          </w:p>
          <w:p w:rsidR="00130F0B" w:rsidRPr="00130F0B" w:rsidRDefault="00130F0B" w:rsidP="00704CC0">
            <w:pPr>
              <w:keepNext/>
              <w:keepLines/>
              <w:tabs>
                <w:tab w:val="left" w:pos="567"/>
                <w:tab w:val="left" w:pos="1134"/>
                <w:tab w:val="left" w:pos="1701"/>
                <w:tab w:val="left" w:pos="2268"/>
              </w:tabs>
              <w:ind w:hanging="108"/>
              <w:jc w:val="right"/>
              <w:rPr>
                <w:rFonts w:cs="Arial"/>
                <w:sz w:val="18"/>
                <w:szCs w:val="18"/>
              </w:rPr>
            </w:pPr>
            <w:r w:rsidRPr="00130F0B">
              <w:rPr>
                <w:rFonts w:cs="Arial"/>
                <w:bCs/>
                <w:sz w:val="18"/>
                <w:szCs w:val="18"/>
              </w:rPr>
              <w:t>£'000</w:t>
            </w:r>
          </w:p>
        </w:tc>
      </w:tr>
      <w:tr w:rsidR="005B4ED2" w:rsidRPr="00A76890" w:rsidTr="00562F9C">
        <w:tc>
          <w:tcPr>
            <w:tcW w:w="2500" w:type="pct"/>
            <w:shd w:val="clear" w:color="auto" w:fill="auto"/>
            <w:noWrap/>
            <w:vAlign w:val="bottom"/>
          </w:tcPr>
          <w:p w:rsidR="005B4ED2" w:rsidRPr="00130F0B" w:rsidRDefault="005B4ED2" w:rsidP="00704CC0">
            <w:pPr>
              <w:keepNext/>
              <w:keepLines/>
              <w:tabs>
                <w:tab w:val="left" w:pos="567"/>
                <w:tab w:val="left" w:pos="1134"/>
                <w:tab w:val="left" w:pos="1701"/>
                <w:tab w:val="left" w:pos="2268"/>
              </w:tabs>
              <w:ind w:left="567"/>
              <w:rPr>
                <w:rFonts w:cs="Arial"/>
                <w:b/>
                <w:sz w:val="18"/>
                <w:szCs w:val="18"/>
              </w:rPr>
            </w:pPr>
            <w:r w:rsidRPr="00130F0B">
              <w:rPr>
                <w:rFonts w:cs="Arial"/>
                <w:b/>
                <w:sz w:val="18"/>
                <w:szCs w:val="18"/>
              </w:rPr>
              <w:t>Non-current</w:t>
            </w:r>
          </w:p>
        </w:tc>
        <w:tc>
          <w:tcPr>
            <w:tcW w:w="375" w:type="pct"/>
            <w:shd w:val="clear" w:color="auto" w:fill="auto"/>
            <w:noWrap/>
            <w:vAlign w:val="bottom"/>
          </w:tcPr>
          <w:p w:rsidR="005B4ED2" w:rsidRPr="00130F0B" w:rsidRDefault="005B4ED2" w:rsidP="00704CC0">
            <w:pPr>
              <w:keepNext/>
              <w:keepLines/>
              <w:tabs>
                <w:tab w:val="left" w:pos="567"/>
                <w:tab w:val="left" w:pos="1134"/>
                <w:tab w:val="left" w:pos="1701"/>
                <w:tab w:val="left" w:pos="2268"/>
              </w:tabs>
              <w:ind w:hanging="108"/>
              <w:rPr>
                <w:rFonts w:cs="Arial"/>
                <w:sz w:val="18"/>
                <w:szCs w:val="18"/>
              </w:rPr>
            </w:pPr>
          </w:p>
        </w:tc>
        <w:tc>
          <w:tcPr>
            <w:tcW w:w="1000" w:type="pct"/>
            <w:shd w:val="clear" w:color="auto" w:fill="auto"/>
            <w:noWrap/>
            <w:vAlign w:val="bottom"/>
          </w:tcPr>
          <w:p w:rsidR="005B4ED2" w:rsidRPr="00130F0B" w:rsidRDefault="005B4ED2" w:rsidP="00704CC0">
            <w:pPr>
              <w:keepNext/>
              <w:keepLines/>
              <w:tabs>
                <w:tab w:val="left" w:pos="567"/>
                <w:tab w:val="left" w:pos="1134"/>
                <w:tab w:val="left" w:pos="1701"/>
                <w:tab w:val="left" w:pos="2268"/>
              </w:tabs>
              <w:ind w:hanging="108"/>
              <w:jc w:val="right"/>
              <w:rPr>
                <w:rFonts w:cs="Arial"/>
                <w:b/>
                <w:sz w:val="18"/>
                <w:szCs w:val="18"/>
              </w:rPr>
            </w:pPr>
          </w:p>
        </w:tc>
        <w:tc>
          <w:tcPr>
            <w:tcW w:w="125" w:type="pct"/>
            <w:shd w:val="clear" w:color="auto" w:fill="auto"/>
            <w:noWrap/>
          </w:tcPr>
          <w:p w:rsidR="005B4ED2" w:rsidRPr="00130F0B" w:rsidRDefault="005B4ED2" w:rsidP="00704CC0">
            <w:pPr>
              <w:keepNext/>
              <w:keepLines/>
              <w:tabs>
                <w:tab w:val="left" w:pos="567"/>
                <w:tab w:val="left" w:pos="1134"/>
                <w:tab w:val="left" w:pos="1701"/>
                <w:tab w:val="left" w:pos="2268"/>
              </w:tabs>
              <w:ind w:hanging="108"/>
              <w:jc w:val="right"/>
              <w:rPr>
                <w:rFonts w:cs="Arial"/>
                <w:sz w:val="18"/>
                <w:szCs w:val="18"/>
              </w:rPr>
            </w:pPr>
          </w:p>
        </w:tc>
        <w:tc>
          <w:tcPr>
            <w:tcW w:w="1000" w:type="pct"/>
            <w:vAlign w:val="bottom"/>
          </w:tcPr>
          <w:p w:rsidR="005B4ED2" w:rsidRPr="00130F0B" w:rsidRDefault="005B4ED2" w:rsidP="00704CC0">
            <w:pPr>
              <w:keepNext/>
              <w:keepLines/>
              <w:tabs>
                <w:tab w:val="left" w:pos="567"/>
                <w:tab w:val="left" w:pos="1134"/>
                <w:tab w:val="left" w:pos="1701"/>
                <w:tab w:val="left" w:pos="2268"/>
              </w:tabs>
              <w:ind w:hanging="108"/>
              <w:jc w:val="right"/>
              <w:rPr>
                <w:rFonts w:cs="Arial"/>
                <w:sz w:val="18"/>
                <w:szCs w:val="18"/>
              </w:rPr>
            </w:pPr>
          </w:p>
        </w:tc>
      </w:tr>
      <w:tr w:rsidR="005B4ED2" w:rsidRPr="00A76890" w:rsidTr="00562F9C">
        <w:tc>
          <w:tcPr>
            <w:tcW w:w="2500" w:type="pct"/>
            <w:shd w:val="clear" w:color="auto" w:fill="auto"/>
            <w:noWrap/>
            <w:vAlign w:val="bottom"/>
          </w:tcPr>
          <w:p w:rsidR="005B4ED2" w:rsidRPr="00130F0B" w:rsidRDefault="005B4ED2" w:rsidP="00704CC0">
            <w:pPr>
              <w:keepNext/>
              <w:keepLines/>
              <w:tabs>
                <w:tab w:val="left" w:pos="567"/>
                <w:tab w:val="left" w:pos="1134"/>
                <w:tab w:val="left" w:pos="1701"/>
                <w:tab w:val="left" w:pos="2268"/>
              </w:tabs>
              <w:ind w:left="567"/>
              <w:rPr>
                <w:rFonts w:cs="Arial"/>
                <w:sz w:val="18"/>
                <w:szCs w:val="18"/>
              </w:rPr>
            </w:pPr>
            <w:r w:rsidRPr="00130F0B">
              <w:rPr>
                <w:rFonts w:cs="Arial"/>
                <w:sz w:val="18"/>
                <w:szCs w:val="18"/>
              </w:rPr>
              <w:t>Elephant Capital LP*</w:t>
            </w:r>
          </w:p>
        </w:tc>
        <w:tc>
          <w:tcPr>
            <w:tcW w:w="375" w:type="pct"/>
            <w:shd w:val="clear" w:color="auto" w:fill="auto"/>
            <w:noWrap/>
            <w:vAlign w:val="bottom"/>
          </w:tcPr>
          <w:p w:rsidR="005B4ED2" w:rsidRPr="00130F0B" w:rsidRDefault="005B4ED2" w:rsidP="00704CC0">
            <w:pPr>
              <w:keepNext/>
              <w:keepLines/>
              <w:tabs>
                <w:tab w:val="left" w:pos="567"/>
                <w:tab w:val="left" w:pos="1134"/>
                <w:tab w:val="left" w:pos="1701"/>
                <w:tab w:val="left" w:pos="2268"/>
              </w:tabs>
              <w:ind w:hanging="108"/>
              <w:jc w:val="center"/>
              <w:rPr>
                <w:rFonts w:cs="Arial"/>
                <w:sz w:val="18"/>
                <w:szCs w:val="18"/>
              </w:rPr>
            </w:pPr>
          </w:p>
        </w:tc>
        <w:tc>
          <w:tcPr>
            <w:tcW w:w="1000" w:type="pct"/>
            <w:shd w:val="clear" w:color="auto" w:fill="auto"/>
            <w:noWrap/>
          </w:tcPr>
          <w:p w:rsidR="005B4ED2" w:rsidRPr="00130F0B" w:rsidRDefault="005B4ED2" w:rsidP="00704CC0">
            <w:pPr>
              <w:keepNext/>
              <w:keepLines/>
              <w:tabs>
                <w:tab w:val="left" w:pos="567"/>
                <w:tab w:val="left" w:pos="1134"/>
                <w:tab w:val="left" w:pos="1701"/>
                <w:tab w:val="left" w:pos="2268"/>
              </w:tabs>
              <w:ind w:hanging="108"/>
              <w:jc w:val="right"/>
              <w:rPr>
                <w:rFonts w:cs="Arial"/>
                <w:b/>
                <w:sz w:val="18"/>
                <w:szCs w:val="18"/>
              </w:rPr>
            </w:pPr>
            <w:r w:rsidRPr="00130F0B">
              <w:rPr>
                <w:rFonts w:cs="Arial"/>
                <w:b/>
                <w:sz w:val="18"/>
                <w:szCs w:val="18"/>
              </w:rPr>
              <w:t>14,000</w:t>
            </w:r>
          </w:p>
        </w:tc>
        <w:tc>
          <w:tcPr>
            <w:tcW w:w="125" w:type="pct"/>
            <w:shd w:val="clear" w:color="auto" w:fill="auto"/>
            <w:noWrap/>
          </w:tcPr>
          <w:p w:rsidR="005B4ED2" w:rsidRPr="00130F0B" w:rsidRDefault="005B4ED2" w:rsidP="00704CC0">
            <w:pPr>
              <w:keepNext/>
              <w:keepLines/>
              <w:tabs>
                <w:tab w:val="left" w:pos="567"/>
                <w:tab w:val="left" w:pos="1134"/>
                <w:tab w:val="left" w:pos="1701"/>
                <w:tab w:val="left" w:pos="2268"/>
              </w:tabs>
              <w:ind w:hanging="108"/>
              <w:jc w:val="right"/>
              <w:rPr>
                <w:rFonts w:cs="Arial"/>
                <w:sz w:val="18"/>
                <w:szCs w:val="18"/>
              </w:rPr>
            </w:pPr>
          </w:p>
        </w:tc>
        <w:tc>
          <w:tcPr>
            <w:tcW w:w="1000" w:type="pct"/>
            <w:shd w:val="clear" w:color="auto" w:fill="auto"/>
          </w:tcPr>
          <w:p w:rsidR="005B4ED2" w:rsidRPr="00130F0B" w:rsidRDefault="005B4ED2" w:rsidP="00704CC0">
            <w:pPr>
              <w:keepNext/>
              <w:keepLines/>
              <w:tabs>
                <w:tab w:val="left" w:pos="567"/>
                <w:tab w:val="left" w:pos="1134"/>
                <w:tab w:val="left" w:pos="1701"/>
                <w:tab w:val="left" w:pos="2268"/>
              </w:tabs>
              <w:ind w:hanging="108"/>
              <w:jc w:val="right"/>
              <w:rPr>
                <w:rFonts w:cs="Arial"/>
                <w:sz w:val="18"/>
                <w:szCs w:val="18"/>
              </w:rPr>
            </w:pPr>
            <w:r w:rsidRPr="00130F0B">
              <w:rPr>
                <w:rFonts w:cs="Arial"/>
                <w:sz w:val="18"/>
                <w:szCs w:val="18"/>
              </w:rPr>
              <w:t>24,000</w:t>
            </w:r>
          </w:p>
        </w:tc>
      </w:tr>
      <w:tr w:rsidR="005B4ED2" w:rsidRPr="00A76890" w:rsidTr="00562F9C">
        <w:tc>
          <w:tcPr>
            <w:tcW w:w="2500" w:type="pct"/>
            <w:shd w:val="clear" w:color="auto" w:fill="auto"/>
            <w:noWrap/>
            <w:vAlign w:val="bottom"/>
          </w:tcPr>
          <w:p w:rsidR="005B4ED2" w:rsidRPr="00130F0B" w:rsidRDefault="005B4ED2" w:rsidP="00704CC0">
            <w:pPr>
              <w:keepNext/>
              <w:keepLines/>
              <w:tabs>
                <w:tab w:val="left" w:pos="567"/>
                <w:tab w:val="left" w:pos="1134"/>
                <w:tab w:val="left" w:pos="1701"/>
                <w:tab w:val="left" w:pos="2268"/>
              </w:tabs>
              <w:ind w:left="567"/>
              <w:rPr>
                <w:rFonts w:cs="Arial"/>
                <w:sz w:val="18"/>
                <w:szCs w:val="18"/>
              </w:rPr>
            </w:pPr>
            <w:r w:rsidRPr="00130F0B">
              <w:rPr>
                <w:rFonts w:cs="Arial"/>
                <w:sz w:val="18"/>
                <w:szCs w:val="18"/>
              </w:rPr>
              <w:t xml:space="preserve">Less : Transfer to current loan </w:t>
            </w:r>
          </w:p>
        </w:tc>
        <w:tc>
          <w:tcPr>
            <w:tcW w:w="375" w:type="pct"/>
            <w:shd w:val="clear" w:color="auto" w:fill="auto"/>
            <w:noWrap/>
            <w:vAlign w:val="bottom"/>
          </w:tcPr>
          <w:p w:rsidR="005B4ED2" w:rsidRPr="00130F0B" w:rsidRDefault="005B4ED2" w:rsidP="00704CC0">
            <w:pPr>
              <w:keepNext/>
              <w:keepLines/>
              <w:tabs>
                <w:tab w:val="left" w:pos="567"/>
                <w:tab w:val="left" w:pos="1134"/>
                <w:tab w:val="left" w:pos="1701"/>
                <w:tab w:val="left" w:pos="2268"/>
              </w:tabs>
              <w:ind w:hanging="108"/>
              <w:jc w:val="center"/>
              <w:rPr>
                <w:rFonts w:cs="Arial"/>
                <w:sz w:val="18"/>
                <w:szCs w:val="18"/>
              </w:rPr>
            </w:pPr>
          </w:p>
        </w:tc>
        <w:tc>
          <w:tcPr>
            <w:tcW w:w="1000" w:type="pct"/>
            <w:tcBorders>
              <w:bottom w:val="single" w:sz="4" w:space="0" w:color="auto"/>
            </w:tcBorders>
            <w:shd w:val="clear" w:color="auto" w:fill="auto"/>
            <w:noWrap/>
          </w:tcPr>
          <w:p w:rsidR="005B4ED2" w:rsidRPr="00130F0B" w:rsidRDefault="005B4ED2" w:rsidP="00704CC0">
            <w:pPr>
              <w:keepNext/>
              <w:keepLines/>
              <w:tabs>
                <w:tab w:val="left" w:pos="567"/>
                <w:tab w:val="left" w:pos="1134"/>
                <w:tab w:val="left" w:pos="1701"/>
                <w:tab w:val="left" w:pos="2268"/>
              </w:tabs>
              <w:ind w:hanging="108"/>
              <w:jc w:val="right"/>
              <w:rPr>
                <w:rFonts w:cs="Arial"/>
                <w:b/>
                <w:sz w:val="18"/>
                <w:szCs w:val="18"/>
              </w:rPr>
            </w:pPr>
            <w:r w:rsidRPr="00130F0B">
              <w:rPr>
                <w:rFonts w:cs="Arial"/>
                <w:b/>
                <w:sz w:val="18"/>
                <w:szCs w:val="18"/>
              </w:rPr>
              <w:t>-</w:t>
            </w:r>
          </w:p>
        </w:tc>
        <w:tc>
          <w:tcPr>
            <w:tcW w:w="125" w:type="pct"/>
            <w:shd w:val="clear" w:color="auto" w:fill="auto"/>
            <w:noWrap/>
          </w:tcPr>
          <w:p w:rsidR="005B4ED2" w:rsidRPr="00130F0B" w:rsidRDefault="005B4ED2" w:rsidP="00704CC0">
            <w:pPr>
              <w:keepNext/>
              <w:keepLines/>
              <w:tabs>
                <w:tab w:val="left" w:pos="567"/>
                <w:tab w:val="left" w:pos="1134"/>
                <w:tab w:val="left" w:pos="1701"/>
                <w:tab w:val="left" w:pos="2268"/>
              </w:tabs>
              <w:ind w:hanging="108"/>
              <w:jc w:val="right"/>
              <w:rPr>
                <w:rFonts w:cs="Arial"/>
                <w:sz w:val="18"/>
                <w:szCs w:val="18"/>
              </w:rPr>
            </w:pPr>
          </w:p>
        </w:tc>
        <w:tc>
          <w:tcPr>
            <w:tcW w:w="1000" w:type="pct"/>
            <w:tcBorders>
              <w:bottom w:val="single" w:sz="4" w:space="0" w:color="auto"/>
            </w:tcBorders>
            <w:shd w:val="clear" w:color="auto" w:fill="auto"/>
          </w:tcPr>
          <w:p w:rsidR="005B4ED2" w:rsidRPr="00130F0B" w:rsidRDefault="005B4ED2" w:rsidP="00704CC0">
            <w:pPr>
              <w:keepNext/>
              <w:keepLines/>
              <w:tabs>
                <w:tab w:val="left" w:pos="567"/>
                <w:tab w:val="left" w:pos="1134"/>
                <w:tab w:val="left" w:pos="1701"/>
                <w:tab w:val="left" w:pos="2268"/>
              </w:tabs>
              <w:ind w:hanging="108"/>
              <w:jc w:val="right"/>
              <w:rPr>
                <w:rFonts w:cs="Arial"/>
                <w:sz w:val="18"/>
                <w:szCs w:val="18"/>
              </w:rPr>
            </w:pPr>
            <w:r w:rsidRPr="00130F0B">
              <w:rPr>
                <w:rFonts w:cs="Arial"/>
                <w:sz w:val="18"/>
                <w:szCs w:val="18"/>
              </w:rPr>
              <w:t>(10,000)</w:t>
            </w:r>
          </w:p>
        </w:tc>
      </w:tr>
      <w:tr w:rsidR="005B4ED2" w:rsidRPr="00A76890" w:rsidTr="00562F9C">
        <w:tc>
          <w:tcPr>
            <w:tcW w:w="2500" w:type="pct"/>
            <w:shd w:val="clear" w:color="auto" w:fill="auto"/>
            <w:noWrap/>
            <w:vAlign w:val="bottom"/>
          </w:tcPr>
          <w:p w:rsidR="005B4ED2" w:rsidRPr="00130F0B" w:rsidRDefault="005B4ED2" w:rsidP="00704CC0">
            <w:pPr>
              <w:keepNext/>
              <w:keepLines/>
              <w:tabs>
                <w:tab w:val="left" w:pos="567"/>
                <w:tab w:val="left" w:pos="1134"/>
                <w:tab w:val="left" w:pos="1701"/>
                <w:tab w:val="left" w:pos="2268"/>
              </w:tabs>
              <w:ind w:left="567"/>
              <w:rPr>
                <w:rFonts w:cs="Arial"/>
                <w:sz w:val="18"/>
                <w:szCs w:val="18"/>
              </w:rPr>
            </w:pPr>
          </w:p>
        </w:tc>
        <w:tc>
          <w:tcPr>
            <w:tcW w:w="375" w:type="pct"/>
            <w:shd w:val="clear" w:color="auto" w:fill="auto"/>
            <w:noWrap/>
            <w:vAlign w:val="bottom"/>
          </w:tcPr>
          <w:p w:rsidR="005B4ED2" w:rsidRPr="00130F0B" w:rsidRDefault="005B4ED2" w:rsidP="00704CC0">
            <w:pPr>
              <w:keepNext/>
              <w:keepLines/>
              <w:tabs>
                <w:tab w:val="left" w:pos="567"/>
                <w:tab w:val="left" w:pos="1134"/>
                <w:tab w:val="left" w:pos="1701"/>
                <w:tab w:val="left" w:pos="2268"/>
              </w:tabs>
              <w:ind w:hanging="108"/>
              <w:jc w:val="center"/>
              <w:rPr>
                <w:rFonts w:cs="Arial"/>
                <w:sz w:val="18"/>
                <w:szCs w:val="18"/>
              </w:rPr>
            </w:pPr>
          </w:p>
        </w:tc>
        <w:tc>
          <w:tcPr>
            <w:tcW w:w="1000" w:type="pct"/>
            <w:tcBorders>
              <w:bottom w:val="single" w:sz="4" w:space="0" w:color="auto"/>
            </w:tcBorders>
            <w:shd w:val="clear" w:color="auto" w:fill="auto"/>
            <w:noWrap/>
          </w:tcPr>
          <w:p w:rsidR="005B4ED2" w:rsidRPr="00130F0B" w:rsidRDefault="005B4ED2" w:rsidP="00704CC0">
            <w:pPr>
              <w:keepNext/>
              <w:keepLines/>
              <w:tabs>
                <w:tab w:val="left" w:pos="567"/>
                <w:tab w:val="left" w:pos="1134"/>
                <w:tab w:val="left" w:pos="1701"/>
                <w:tab w:val="left" w:pos="2268"/>
              </w:tabs>
              <w:ind w:hanging="108"/>
              <w:jc w:val="right"/>
              <w:rPr>
                <w:rFonts w:cs="Arial"/>
                <w:b/>
                <w:sz w:val="18"/>
                <w:szCs w:val="18"/>
              </w:rPr>
            </w:pPr>
            <w:r w:rsidRPr="00130F0B">
              <w:rPr>
                <w:rFonts w:cs="Arial"/>
                <w:b/>
                <w:sz w:val="18"/>
                <w:szCs w:val="18"/>
              </w:rPr>
              <w:t>14,000</w:t>
            </w:r>
          </w:p>
        </w:tc>
        <w:tc>
          <w:tcPr>
            <w:tcW w:w="125" w:type="pct"/>
            <w:shd w:val="clear" w:color="auto" w:fill="auto"/>
            <w:noWrap/>
          </w:tcPr>
          <w:p w:rsidR="005B4ED2" w:rsidRPr="00130F0B" w:rsidRDefault="005B4ED2" w:rsidP="00704CC0">
            <w:pPr>
              <w:keepNext/>
              <w:keepLines/>
              <w:tabs>
                <w:tab w:val="left" w:pos="567"/>
                <w:tab w:val="left" w:pos="1134"/>
                <w:tab w:val="left" w:pos="1701"/>
                <w:tab w:val="left" w:pos="2268"/>
              </w:tabs>
              <w:ind w:hanging="108"/>
              <w:jc w:val="right"/>
              <w:rPr>
                <w:rFonts w:cs="Arial"/>
                <w:sz w:val="18"/>
                <w:szCs w:val="18"/>
              </w:rPr>
            </w:pPr>
          </w:p>
        </w:tc>
        <w:tc>
          <w:tcPr>
            <w:tcW w:w="1000" w:type="pct"/>
            <w:tcBorders>
              <w:bottom w:val="single" w:sz="4" w:space="0" w:color="auto"/>
            </w:tcBorders>
            <w:shd w:val="clear" w:color="auto" w:fill="auto"/>
          </w:tcPr>
          <w:p w:rsidR="005B4ED2" w:rsidRPr="00130F0B" w:rsidRDefault="005B4ED2" w:rsidP="00704CC0">
            <w:pPr>
              <w:keepNext/>
              <w:keepLines/>
              <w:tabs>
                <w:tab w:val="left" w:pos="567"/>
                <w:tab w:val="left" w:pos="1134"/>
                <w:tab w:val="left" w:pos="1701"/>
                <w:tab w:val="left" w:pos="2268"/>
              </w:tabs>
              <w:ind w:hanging="108"/>
              <w:jc w:val="right"/>
              <w:rPr>
                <w:rFonts w:cs="Arial"/>
                <w:sz w:val="18"/>
                <w:szCs w:val="18"/>
              </w:rPr>
            </w:pPr>
            <w:r w:rsidRPr="00130F0B">
              <w:rPr>
                <w:rFonts w:cs="Arial"/>
                <w:sz w:val="18"/>
                <w:szCs w:val="18"/>
              </w:rPr>
              <w:t>14,000</w:t>
            </w:r>
          </w:p>
        </w:tc>
      </w:tr>
      <w:tr w:rsidR="005B4ED2" w:rsidRPr="00A76890" w:rsidTr="00562F9C">
        <w:tc>
          <w:tcPr>
            <w:tcW w:w="2500" w:type="pct"/>
            <w:shd w:val="clear" w:color="auto" w:fill="auto"/>
            <w:noWrap/>
            <w:vAlign w:val="bottom"/>
          </w:tcPr>
          <w:p w:rsidR="005B4ED2" w:rsidRPr="00130F0B" w:rsidRDefault="005B4ED2" w:rsidP="00704CC0">
            <w:pPr>
              <w:keepNext/>
              <w:keepLines/>
              <w:tabs>
                <w:tab w:val="left" w:pos="567"/>
                <w:tab w:val="left" w:pos="1134"/>
                <w:tab w:val="left" w:pos="1701"/>
                <w:tab w:val="left" w:pos="2268"/>
              </w:tabs>
              <w:ind w:left="567"/>
              <w:rPr>
                <w:rFonts w:cs="Arial"/>
                <w:sz w:val="18"/>
                <w:szCs w:val="18"/>
              </w:rPr>
            </w:pPr>
            <w:r w:rsidRPr="00130F0B">
              <w:rPr>
                <w:rFonts w:cs="Arial"/>
                <w:sz w:val="18"/>
                <w:szCs w:val="18"/>
              </w:rPr>
              <w:t>Less: Provision for impairment**</w:t>
            </w:r>
          </w:p>
        </w:tc>
        <w:tc>
          <w:tcPr>
            <w:tcW w:w="375" w:type="pct"/>
            <w:shd w:val="clear" w:color="auto" w:fill="auto"/>
            <w:noWrap/>
            <w:vAlign w:val="bottom"/>
          </w:tcPr>
          <w:p w:rsidR="005B4ED2" w:rsidRPr="00130F0B" w:rsidRDefault="005B4ED2" w:rsidP="00704CC0">
            <w:pPr>
              <w:keepNext/>
              <w:keepLines/>
              <w:tabs>
                <w:tab w:val="left" w:pos="567"/>
                <w:tab w:val="left" w:pos="1134"/>
                <w:tab w:val="left" w:pos="1701"/>
                <w:tab w:val="left" w:pos="2268"/>
              </w:tabs>
              <w:ind w:hanging="108"/>
              <w:jc w:val="center"/>
              <w:rPr>
                <w:rFonts w:cs="Arial"/>
                <w:sz w:val="18"/>
                <w:szCs w:val="18"/>
              </w:rPr>
            </w:pPr>
          </w:p>
        </w:tc>
        <w:tc>
          <w:tcPr>
            <w:tcW w:w="1000" w:type="pct"/>
            <w:tcBorders>
              <w:bottom w:val="single" w:sz="4" w:space="0" w:color="auto"/>
            </w:tcBorders>
            <w:shd w:val="clear" w:color="auto" w:fill="auto"/>
            <w:noWrap/>
          </w:tcPr>
          <w:p w:rsidR="005B4ED2" w:rsidRPr="00130F0B" w:rsidRDefault="005B4ED2" w:rsidP="00704CC0">
            <w:pPr>
              <w:keepNext/>
              <w:keepLines/>
              <w:tabs>
                <w:tab w:val="left" w:pos="567"/>
                <w:tab w:val="left" w:pos="1134"/>
                <w:tab w:val="left" w:pos="1701"/>
                <w:tab w:val="left" w:pos="2268"/>
              </w:tabs>
              <w:ind w:hanging="108"/>
              <w:jc w:val="right"/>
              <w:rPr>
                <w:rFonts w:cs="Arial"/>
                <w:b/>
                <w:sz w:val="18"/>
                <w:szCs w:val="18"/>
              </w:rPr>
            </w:pPr>
            <w:r w:rsidRPr="00130F0B">
              <w:rPr>
                <w:rFonts w:cs="Arial"/>
                <w:b/>
                <w:sz w:val="18"/>
                <w:szCs w:val="18"/>
              </w:rPr>
              <w:t>(8,953)</w:t>
            </w:r>
          </w:p>
        </w:tc>
        <w:tc>
          <w:tcPr>
            <w:tcW w:w="125" w:type="pct"/>
            <w:shd w:val="clear" w:color="auto" w:fill="auto"/>
            <w:noWrap/>
          </w:tcPr>
          <w:p w:rsidR="005B4ED2" w:rsidRPr="00130F0B" w:rsidRDefault="005B4ED2" w:rsidP="00704CC0">
            <w:pPr>
              <w:keepNext/>
              <w:keepLines/>
              <w:tabs>
                <w:tab w:val="left" w:pos="567"/>
                <w:tab w:val="left" w:pos="1134"/>
                <w:tab w:val="left" w:pos="1701"/>
                <w:tab w:val="left" w:pos="2268"/>
              </w:tabs>
              <w:ind w:hanging="108"/>
              <w:jc w:val="right"/>
              <w:rPr>
                <w:rFonts w:cs="Arial"/>
                <w:sz w:val="18"/>
                <w:szCs w:val="18"/>
              </w:rPr>
            </w:pPr>
          </w:p>
        </w:tc>
        <w:tc>
          <w:tcPr>
            <w:tcW w:w="1000" w:type="pct"/>
            <w:tcBorders>
              <w:bottom w:val="single" w:sz="4" w:space="0" w:color="auto"/>
            </w:tcBorders>
            <w:shd w:val="clear" w:color="auto" w:fill="auto"/>
          </w:tcPr>
          <w:p w:rsidR="005B4ED2" w:rsidRPr="00130F0B" w:rsidRDefault="005B4ED2" w:rsidP="00704CC0">
            <w:pPr>
              <w:keepNext/>
              <w:keepLines/>
              <w:tabs>
                <w:tab w:val="left" w:pos="567"/>
                <w:tab w:val="left" w:pos="1134"/>
                <w:tab w:val="left" w:pos="1701"/>
                <w:tab w:val="left" w:pos="2268"/>
              </w:tabs>
              <w:ind w:hanging="108"/>
              <w:jc w:val="right"/>
              <w:rPr>
                <w:rFonts w:cs="Arial"/>
                <w:sz w:val="18"/>
                <w:szCs w:val="18"/>
              </w:rPr>
            </w:pPr>
            <w:r w:rsidRPr="00130F0B">
              <w:rPr>
                <w:rFonts w:cs="Arial"/>
                <w:sz w:val="18"/>
                <w:szCs w:val="18"/>
              </w:rPr>
              <w:t>(6,186)</w:t>
            </w:r>
          </w:p>
        </w:tc>
      </w:tr>
      <w:tr w:rsidR="005B4ED2" w:rsidRPr="00A76890" w:rsidTr="00562F9C">
        <w:tc>
          <w:tcPr>
            <w:tcW w:w="2500" w:type="pct"/>
            <w:shd w:val="clear" w:color="auto" w:fill="auto"/>
            <w:noWrap/>
            <w:vAlign w:val="bottom"/>
          </w:tcPr>
          <w:p w:rsidR="005B4ED2" w:rsidRPr="00130F0B" w:rsidRDefault="005B4ED2" w:rsidP="00704CC0">
            <w:pPr>
              <w:keepNext/>
              <w:keepLines/>
              <w:tabs>
                <w:tab w:val="left" w:pos="567"/>
                <w:tab w:val="left" w:pos="1134"/>
                <w:tab w:val="left" w:pos="1701"/>
                <w:tab w:val="left" w:pos="2268"/>
              </w:tabs>
              <w:ind w:left="567"/>
              <w:rPr>
                <w:rFonts w:cs="Arial"/>
                <w:b/>
                <w:sz w:val="18"/>
                <w:szCs w:val="18"/>
              </w:rPr>
            </w:pPr>
            <w:r w:rsidRPr="00130F0B">
              <w:rPr>
                <w:rFonts w:cs="Arial"/>
                <w:b/>
                <w:sz w:val="18"/>
                <w:szCs w:val="18"/>
              </w:rPr>
              <w:t>A</w:t>
            </w:r>
          </w:p>
        </w:tc>
        <w:tc>
          <w:tcPr>
            <w:tcW w:w="375" w:type="pct"/>
            <w:shd w:val="clear" w:color="auto" w:fill="auto"/>
            <w:noWrap/>
            <w:vAlign w:val="bottom"/>
          </w:tcPr>
          <w:p w:rsidR="005B4ED2" w:rsidRPr="00130F0B" w:rsidRDefault="005B4ED2" w:rsidP="00704CC0">
            <w:pPr>
              <w:keepNext/>
              <w:keepLines/>
              <w:tabs>
                <w:tab w:val="left" w:pos="567"/>
                <w:tab w:val="left" w:pos="1134"/>
                <w:tab w:val="left" w:pos="1701"/>
                <w:tab w:val="left" w:pos="2268"/>
              </w:tabs>
              <w:ind w:hanging="108"/>
              <w:jc w:val="center"/>
              <w:rPr>
                <w:rFonts w:cs="Arial"/>
                <w:sz w:val="18"/>
                <w:szCs w:val="18"/>
              </w:rPr>
            </w:pPr>
          </w:p>
        </w:tc>
        <w:tc>
          <w:tcPr>
            <w:tcW w:w="1000" w:type="pct"/>
            <w:tcBorders>
              <w:top w:val="single" w:sz="4" w:space="0" w:color="auto"/>
              <w:bottom w:val="single" w:sz="4" w:space="0" w:color="auto"/>
            </w:tcBorders>
            <w:shd w:val="clear" w:color="auto" w:fill="auto"/>
            <w:noWrap/>
          </w:tcPr>
          <w:p w:rsidR="005B4ED2" w:rsidRPr="00130F0B" w:rsidRDefault="005B4ED2" w:rsidP="00704CC0">
            <w:pPr>
              <w:keepNext/>
              <w:keepLines/>
              <w:tabs>
                <w:tab w:val="left" w:pos="567"/>
                <w:tab w:val="left" w:pos="1134"/>
                <w:tab w:val="left" w:pos="1701"/>
                <w:tab w:val="left" w:pos="2268"/>
              </w:tabs>
              <w:ind w:hanging="108"/>
              <w:jc w:val="right"/>
              <w:rPr>
                <w:rFonts w:cs="Arial"/>
                <w:b/>
                <w:sz w:val="18"/>
                <w:szCs w:val="18"/>
              </w:rPr>
            </w:pPr>
            <w:r w:rsidRPr="00130F0B">
              <w:rPr>
                <w:rFonts w:cs="Arial"/>
                <w:b/>
                <w:sz w:val="18"/>
                <w:szCs w:val="18"/>
              </w:rPr>
              <w:t>5,047</w:t>
            </w:r>
          </w:p>
        </w:tc>
        <w:tc>
          <w:tcPr>
            <w:tcW w:w="125" w:type="pct"/>
            <w:shd w:val="clear" w:color="auto" w:fill="auto"/>
            <w:noWrap/>
          </w:tcPr>
          <w:p w:rsidR="005B4ED2" w:rsidRPr="00130F0B" w:rsidRDefault="005B4ED2" w:rsidP="00704CC0">
            <w:pPr>
              <w:keepNext/>
              <w:keepLines/>
              <w:tabs>
                <w:tab w:val="left" w:pos="567"/>
                <w:tab w:val="left" w:pos="1134"/>
                <w:tab w:val="left" w:pos="1701"/>
                <w:tab w:val="left" w:pos="2268"/>
              </w:tabs>
              <w:ind w:hanging="108"/>
              <w:jc w:val="right"/>
              <w:rPr>
                <w:rFonts w:cs="Arial"/>
                <w:b/>
                <w:sz w:val="18"/>
                <w:szCs w:val="18"/>
              </w:rPr>
            </w:pPr>
          </w:p>
        </w:tc>
        <w:tc>
          <w:tcPr>
            <w:tcW w:w="1000" w:type="pct"/>
            <w:tcBorders>
              <w:top w:val="single" w:sz="4" w:space="0" w:color="auto"/>
              <w:bottom w:val="single" w:sz="4" w:space="0" w:color="auto"/>
            </w:tcBorders>
            <w:shd w:val="clear" w:color="auto" w:fill="auto"/>
          </w:tcPr>
          <w:p w:rsidR="005B4ED2" w:rsidRPr="00130F0B" w:rsidRDefault="005B4ED2" w:rsidP="00704CC0">
            <w:pPr>
              <w:keepNext/>
              <w:keepLines/>
              <w:tabs>
                <w:tab w:val="left" w:pos="567"/>
                <w:tab w:val="left" w:pos="1134"/>
                <w:tab w:val="left" w:pos="1701"/>
                <w:tab w:val="left" w:pos="2268"/>
              </w:tabs>
              <w:ind w:hanging="108"/>
              <w:jc w:val="right"/>
              <w:rPr>
                <w:rFonts w:cs="Arial"/>
                <w:sz w:val="18"/>
                <w:szCs w:val="18"/>
              </w:rPr>
            </w:pPr>
            <w:r w:rsidRPr="00130F0B">
              <w:rPr>
                <w:rFonts w:cs="Arial"/>
                <w:sz w:val="18"/>
                <w:szCs w:val="18"/>
              </w:rPr>
              <w:t>7,814</w:t>
            </w:r>
          </w:p>
        </w:tc>
      </w:tr>
      <w:tr w:rsidR="005B4ED2" w:rsidRPr="00A76890" w:rsidTr="00562F9C">
        <w:tc>
          <w:tcPr>
            <w:tcW w:w="2500" w:type="pct"/>
            <w:shd w:val="clear" w:color="auto" w:fill="auto"/>
            <w:noWrap/>
            <w:vAlign w:val="bottom"/>
          </w:tcPr>
          <w:p w:rsidR="005B4ED2" w:rsidRPr="00130F0B" w:rsidRDefault="005B4ED2" w:rsidP="00704CC0">
            <w:pPr>
              <w:keepNext/>
              <w:keepLines/>
              <w:tabs>
                <w:tab w:val="left" w:pos="567"/>
                <w:tab w:val="left" w:pos="1134"/>
                <w:tab w:val="left" w:pos="1701"/>
                <w:tab w:val="left" w:pos="2268"/>
              </w:tabs>
              <w:ind w:left="567"/>
              <w:rPr>
                <w:rFonts w:cs="Arial"/>
                <w:b/>
                <w:sz w:val="18"/>
                <w:szCs w:val="18"/>
              </w:rPr>
            </w:pPr>
          </w:p>
          <w:p w:rsidR="005B4ED2" w:rsidRPr="00130F0B" w:rsidRDefault="005B4ED2" w:rsidP="00704CC0">
            <w:pPr>
              <w:keepNext/>
              <w:keepLines/>
              <w:tabs>
                <w:tab w:val="left" w:pos="567"/>
                <w:tab w:val="left" w:pos="1134"/>
                <w:tab w:val="left" w:pos="1701"/>
                <w:tab w:val="left" w:pos="2268"/>
              </w:tabs>
              <w:ind w:left="567"/>
              <w:rPr>
                <w:rFonts w:cs="Arial"/>
                <w:b/>
                <w:sz w:val="18"/>
                <w:szCs w:val="18"/>
              </w:rPr>
            </w:pPr>
            <w:r w:rsidRPr="00130F0B">
              <w:rPr>
                <w:rFonts w:cs="Arial"/>
                <w:b/>
                <w:sz w:val="18"/>
                <w:szCs w:val="18"/>
              </w:rPr>
              <w:t>Current</w:t>
            </w:r>
          </w:p>
        </w:tc>
        <w:tc>
          <w:tcPr>
            <w:tcW w:w="375" w:type="pct"/>
            <w:shd w:val="clear" w:color="auto" w:fill="auto"/>
            <w:noWrap/>
            <w:vAlign w:val="bottom"/>
          </w:tcPr>
          <w:p w:rsidR="005B4ED2" w:rsidRPr="00130F0B" w:rsidRDefault="005B4ED2" w:rsidP="00704CC0">
            <w:pPr>
              <w:keepNext/>
              <w:keepLines/>
              <w:tabs>
                <w:tab w:val="left" w:pos="567"/>
                <w:tab w:val="left" w:pos="1134"/>
                <w:tab w:val="left" w:pos="1701"/>
                <w:tab w:val="left" w:pos="2268"/>
              </w:tabs>
              <w:ind w:hanging="108"/>
              <w:jc w:val="center"/>
              <w:rPr>
                <w:rFonts w:cs="Arial"/>
                <w:sz w:val="18"/>
                <w:szCs w:val="18"/>
              </w:rPr>
            </w:pPr>
          </w:p>
        </w:tc>
        <w:tc>
          <w:tcPr>
            <w:tcW w:w="1000" w:type="pct"/>
            <w:tcBorders>
              <w:top w:val="single" w:sz="4" w:space="0" w:color="auto"/>
            </w:tcBorders>
            <w:shd w:val="clear" w:color="auto" w:fill="auto"/>
            <w:noWrap/>
          </w:tcPr>
          <w:p w:rsidR="005B4ED2" w:rsidRPr="00130F0B" w:rsidRDefault="005B4ED2" w:rsidP="00704CC0">
            <w:pPr>
              <w:keepNext/>
              <w:keepLines/>
              <w:tabs>
                <w:tab w:val="left" w:pos="567"/>
                <w:tab w:val="left" w:pos="1134"/>
                <w:tab w:val="left" w:pos="1701"/>
                <w:tab w:val="left" w:pos="2268"/>
              </w:tabs>
              <w:ind w:hanging="108"/>
              <w:jc w:val="center"/>
              <w:rPr>
                <w:rFonts w:cs="Arial"/>
                <w:b/>
                <w:sz w:val="18"/>
                <w:szCs w:val="18"/>
              </w:rPr>
            </w:pPr>
          </w:p>
        </w:tc>
        <w:tc>
          <w:tcPr>
            <w:tcW w:w="125" w:type="pct"/>
            <w:shd w:val="clear" w:color="auto" w:fill="auto"/>
            <w:noWrap/>
          </w:tcPr>
          <w:p w:rsidR="005B4ED2" w:rsidRPr="00130F0B" w:rsidRDefault="005B4ED2" w:rsidP="00704CC0">
            <w:pPr>
              <w:keepNext/>
              <w:keepLines/>
              <w:tabs>
                <w:tab w:val="left" w:pos="567"/>
                <w:tab w:val="left" w:pos="1134"/>
                <w:tab w:val="left" w:pos="1701"/>
                <w:tab w:val="left" w:pos="2268"/>
              </w:tabs>
              <w:ind w:hanging="108"/>
              <w:jc w:val="right"/>
              <w:rPr>
                <w:rFonts w:cs="Arial"/>
                <w:sz w:val="18"/>
                <w:szCs w:val="18"/>
              </w:rPr>
            </w:pPr>
          </w:p>
        </w:tc>
        <w:tc>
          <w:tcPr>
            <w:tcW w:w="1000" w:type="pct"/>
            <w:tcBorders>
              <w:top w:val="single" w:sz="4" w:space="0" w:color="auto"/>
            </w:tcBorders>
          </w:tcPr>
          <w:p w:rsidR="005B4ED2" w:rsidRPr="00130F0B" w:rsidRDefault="005B4ED2" w:rsidP="00704CC0">
            <w:pPr>
              <w:keepNext/>
              <w:keepLines/>
              <w:tabs>
                <w:tab w:val="left" w:pos="567"/>
                <w:tab w:val="left" w:pos="1134"/>
                <w:tab w:val="left" w:pos="1701"/>
                <w:tab w:val="left" w:pos="2268"/>
              </w:tabs>
              <w:ind w:hanging="108"/>
              <w:jc w:val="center"/>
              <w:rPr>
                <w:rFonts w:cs="Arial"/>
                <w:sz w:val="18"/>
                <w:szCs w:val="18"/>
              </w:rPr>
            </w:pPr>
          </w:p>
        </w:tc>
      </w:tr>
      <w:tr w:rsidR="005B4ED2" w:rsidRPr="00A76890" w:rsidTr="00562F9C">
        <w:tc>
          <w:tcPr>
            <w:tcW w:w="2500" w:type="pct"/>
            <w:shd w:val="clear" w:color="auto" w:fill="auto"/>
            <w:noWrap/>
            <w:vAlign w:val="bottom"/>
          </w:tcPr>
          <w:p w:rsidR="005B4ED2" w:rsidRPr="00130F0B" w:rsidRDefault="005B4ED2" w:rsidP="00704CC0">
            <w:pPr>
              <w:keepNext/>
              <w:keepLines/>
              <w:tabs>
                <w:tab w:val="left" w:pos="567"/>
                <w:tab w:val="left" w:pos="1134"/>
                <w:tab w:val="left" w:pos="1701"/>
                <w:tab w:val="left" w:pos="2268"/>
              </w:tabs>
              <w:ind w:left="567"/>
              <w:rPr>
                <w:rFonts w:cs="Arial"/>
                <w:sz w:val="18"/>
                <w:szCs w:val="18"/>
              </w:rPr>
            </w:pPr>
            <w:r w:rsidRPr="00130F0B">
              <w:rPr>
                <w:rFonts w:cs="Arial"/>
                <w:sz w:val="18"/>
                <w:szCs w:val="18"/>
              </w:rPr>
              <w:t xml:space="preserve"> Transfer from non-current </w:t>
            </w:r>
          </w:p>
        </w:tc>
        <w:tc>
          <w:tcPr>
            <w:tcW w:w="375" w:type="pct"/>
            <w:shd w:val="clear" w:color="auto" w:fill="auto"/>
            <w:noWrap/>
            <w:vAlign w:val="bottom"/>
          </w:tcPr>
          <w:p w:rsidR="005B4ED2" w:rsidRPr="00130F0B" w:rsidRDefault="005B4ED2" w:rsidP="00704CC0">
            <w:pPr>
              <w:keepNext/>
              <w:keepLines/>
              <w:tabs>
                <w:tab w:val="left" w:pos="567"/>
                <w:tab w:val="left" w:pos="1134"/>
                <w:tab w:val="left" w:pos="1701"/>
                <w:tab w:val="left" w:pos="2268"/>
              </w:tabs>
              <w:rPr>
                <w:rFonts w:cs="Arial"/>
                <w:sz w:val="18"/>
                <w:szCs w:val="18"/>
              </w:rPr>
            </w:pPr>
          </w:p>
        </w:tc>
        <w:tc>
          <w:tcPr>
            <w:tcW w:w="1000" w:type="pct"/>
            <w:shd w:val="clear" w:color="auto" w:fill="auto"/>
            <w:noWrap/>
          </w:tcPr>
          <w:p w:rsidR="005B4ED2" w:rsidRPr="00130F0B" w:rsidRDefault="005B4ED2" w:rsidP="00704CC0">
            <w:pPr>
              <w:keepNext/>
              <w:keepLines/>
              <w:tabs>
                <w:tab w:val="left" w:pos="567"/>
                <w:tab w:val="left" w:pos="1134"/>
                <w:tab w:val="left" w:pos="1701"/>
                <w:tab w:val="left" w:pos="2268"/>
              </w:tabs>
              <w:jc w:val="right"/>
              <w:rPr>
                <w:rFonts w:cs="Arial"/>
                <w:b/>
                <w:sz w:val="18"/>
                <w:szCs w:val="18"/>
              </w:rPr>
            </w:pPr>
            <w:r w:rsidRPr="00130F0B">
              <w:rPr>
                <w:rFonts w:cs="Arial"/>
                <w:b/>
                <w:sz w:val="18"/>
                <w:szCs w:val="18"/>
              </w:rPr>
              <w:t>10,000</w:t>
            </w:r>
          </w:p>
        </w:tc>
        <w:tc>
          <w:tcPr>
            <w:tcW w:w="125" w:type="pct"/>
            <w:shd w:val="clear" w:color="auto" w:fill="auto"/>
            <w:noWrap/>
          </w:tcPr>
          <w:p w:rsidR="005B4ED2" w:rsidRPr="00130F0B" w:rsidRDefault="005B4ED2" w:rsidP="00704CC0">
            <w:pPr>
              <w:keepNext/>
              <w:keepLines/>
              <w:tabs>
                <w:tab w:val="left" w:pos="567"/>
                <w:tab w:val="left" w:pos="1134"/>
                <w:tab w:val="left" w:pos="1701"/>
                <w:tab w:val="left" w:pos="2268"/>
              </w:tabs>
              <w:jc w:val="right"/>
              <w:rPr>
                <w:rFonts w:cs="Arial"/>
                <w:sz w:val="18"/>
                <w:szCs w:val="18"/>
              </w:rPr>
            </w:pPr>
          </w:p>
        </w:tc>
        <w:tc>
          <w:tcPr>
            <w:tcW w:w="1000" w:type="pct"/>
          </w:tcPr>
          <w:p w:rsidR="005B4ED2" w:rsidRPr="00130F0B" w:rsidRDefault="005B4ED2" w:rsidP="00704CC0">
            <w:pPr>
              <w:keepNext/>
              <w:keepLines/>
              <w:tabs>
                <w:tab w:val="left" w:pos="567"/>
                <w:tab w:val="left" w:pos="1134"/>
                <w:tab w:val="left" w:pos="1701"/>
                <w:tab w:val="left" w:pos="2268"/>
              </w:tabs>
              <w:jc w:val="right"/>
              <w:rPr>
                <w:rFonts w:cs="Arial"/>
                <w:sz w:val="18"/>
                <w:szCs w:val="18"/>
              </w:rPr>
            </w:pPr>
            <w:r w:rsidRPr="00130F0B">
              <w:rPr>
                <w:rFonts w:cs="Arial"/>
                <w:sz w:val="18"/>
                <w:szCs w:val="18"/>
              </w:rPr>
              <w:t>10,000</w:t>
            </w:r>
          </w:p>
        </w:tc>
      </w:tr>
      <w:tr w:rsidR="005B4ED2" w:rsidRPr="00A76890" w:rsidTr="00562F9C">
        <w:tc>
          <w:tcPr>
            <w:tcW w:w="2500" w:type="pct"/>
            <w:shd w:val="clear" w:color="auto" w:fill="auto"/>
            <w:noWrap/>
            <w:vAlign w:val="bottom"/>
          </w:tcPr>
          <w:p w:rsidR="005B4ED2" w:rsidRPr="00130F0B" w:rsidRDefault="005B4ED2" w:rsidP="00704CC0">
            <w:pPr>
              <w:keepNext/>
              <w:keepLines/>
              <w:tabs>
                <w:tab w:val="left" w:pos="567"/>
                <w:tab w:val="left" w:pos="1134"/>
                <w:tab w:val="left" w:pos="1701"/>
                <w:tab w:val="left" w:pos="2268"/>
              </w:tabs>
              <w:ind w:left="567"/>
              <w:rPr>
                <w:rFonts w:cs="Arial"/>
                <w:sz w:val="18"/>
                <w:szCs w:val="18"/>
              </w:rPr>
            </w:pPr>
            <w:r w:rsidRPr="00130F0B">
              <w:rPr>
                <w:rFonts w:cs="Arial"/>
                <w:sz w:val="18"/>
                <w:szCs w:val="18"/>
              </w:rPr>
              <w:t>Add: Paid during the year</w:t>
            </w:r>
          </w:p>
        </w:tc>
        <w:tc>
          <w:tcPr>
            <w:tcW w:w="375" w:type="pct"/>
            <w:shd w:val="clear" w:color="auto" w:fill="auto"/>
            <w:noWrap/>
            <w:vAlign w:val="bottom"/>
          </w:tcPr>
          <w:p w:rsidR="005B4ED2" w:rsidRPr="00130F0B" w:rsidRDefault="005B4ED2" w:rsidP="00704CC0">
            <w:pPr>
              <w:keepNext/>
              <w:keepLines/>
              <w:tabs>
                <w:tab w:val="left" w:pos="567"/>
                <w:tab w:val="left" w:pos="1134"/>
                <w:tab w:val="left" w:pos="1701"/>
                <w:tab w:val="left" w:pos="2268"/>
              </w:tabs>
              <w:rPr>
                <w:rFonts w:cs="Arial"/>
                <w:sz w:val="18"/>
                <w:szCs w:val="18"/>
              </w:rPr>
            </w:pPr>
          </w:p>
        </w:tc>
        <w:tc>
          <w:tcPr>
            <w:tcW w:w="1000" w:type="pct"/>
            <w:tcBorders>
              <w:bottom w:val="single" w:sz="4" w:space="0" w:color="auto"/>
            </w:tcBorders>
            <w:shd w:val="clear" w:color="auto" w:fill="auto"/>
            <w:noWrap/>
          </w:tcPr>
          <w:p w:rsidR="005B4ED2" w:rsidRPr="00130F0B" w:rsidRDefault="005B4ED2" w:rsidP="00704CC0">
            <w:pPr>
              <w:keepNext/>
              <w:keepLines/>
              <w:tabs>
                <w:tab w:val="left" w:pos="567"/>
                <w:tab w:val="left" w:pos="1134"/>
                <w:tab w:val="left" w:pos="1701"/>
                <w:tab w:val="left" w:pos="2268"/>
              </w:tabs>
              <w:jc w:val="right"/>
              <w:rPr>
                <w:rFonts w:cs="Arial"/>
                <w:b/>
                <w:sz w:val="18"/>
                <w:szCs w:val="18"/>
              </w:rPr>
            </w:pPr>
            <w:r w:rsidRPr="00130F0B">
              <w:rPr>
                <w:rFonts w:cs="Arial"/>
                <w:b/>
                <w:sz w:val="18"/>
                <w:szCs w:val="18"/>
              </w:rPr>
              <w:t>(5,004)</w:t>
            </w:r>
          </w:p>
        </w:tc>
        <w:tc>
          <w:tcPr>
            <w:tcW w:w="125" w:type="pct"/>
            <w:shd w:val="clear" w:color="auto" w:fill="auto"/>
            <w:noWrap/>
          </w:tcPr>
          <w:p w:rsidR="005B4ED2" w:rsidRPr="00130F0B" w:rsidRDefault="005B4ED2" w:rsidP="00704CC0">
            <w:pPr>
              <w:keepNext/>
              <w:keepLines/>
              <w:tabs>
                <w:tab w:val="left" w:pos="567"/>
                <w:tab w:val="left" w:pos="1134"/>
                <w:tab w:val="left" w:pos="1701"/>
                <w:tab w:val="left" w:pos="2268"/>
              </w:tabs>
              <w:jc w:val="right"/>
              <w:rPr>
                <w:rFonts w:cs="Arial"/>
                <w:sz w:val="18"/>
                <w:szCs w:val="18"/>
              </w:rPr>
            </w:pPr>
          </w:p>
        </w:tc>
        <w:tc>
          <w:tcPr>
            <w:tcW w:w="1000" w:type="pct"/>
            <w:tcBorders>
              <w:bottom w:val="single" w:sz="4" w:space="0" w:color="auto"/>
            </w:tcBorders>
          </w:tcPr>
          <w:p w:rsidR="005B4ED2" w:rsidRPr="00130F0B" w:rsidRDefault="005B4ED2" w:rsidP="00704CC0">
            <w:pPr>
              <w:keepNext/>
              <w:keepLines/>
              <w:tabs>
                <w:tab w:val="left" w:pos="567"/>
                <w:tab w:val="left" w:pos="1134"/>
                <w:tab w:val="left" w:pos="1701"/>
                <w:tab w:val="left" w:pos="2268"/>
              </w:tabs>
              <w:jc w:val="right"/>
              <w:rPr>
                <w:rFonts w:cs="Arial"/>
                <w:sz w:val="18"/>
                <w:szCs w:val="18"/>
              </w:rPr>
            </w:pPr>
            <w:r w:rsidRPr="00130F0B">
              <w:rPr>
                <w:rFonts w:cs="Arial"/>
                <w:sz w:val="18"/>
                <w:szCs w:val="18"/>
              </w:rPr>
              <w:t>-</w:t>
            </w:r>
          </w:p>
        </w:tc>
      </w:tr>
      <w:tr w:rsidR="005B4ED2" w:rsidRPr="00A76890" w:rsidTr="00562F9C">
        <w:tc>
          <w:tcPr>
            <w:tcW w:w="2500" w:type="pct"/>
            <w:shd w:val="clear" w:color="auto" w:fill="auto"/>
            <w:noWrap/>
            <w:vAlign w:val="bottom"/>
          </w:tcPr>
          <w:p w:rsidR="005B4ED2" w:rsidRPr="00130F0B" w:rsidRDefault="005B4ED2" w:rsidP="00704CC0">
            <w:pPr>
              <w:keepNext/>
              <w:keepLines/>
              <w:tabs>
                <w:tab w:val="left" w:pos="567"/>
                <w:tab w:val="left" w:pos="1134"/>
                <w:tab w:val="left" w:pos="1701"/>
                <w:tab w:val="left" w:pos="2268"/>
              </w:tabs>
              <w:ind w:left="567"/>
              <w:rPr>
                <w:rFonts w:cs="Arial"/>
                <w:sz w:val="18"/>
                <w:szCs w:val="18"/>
              </w:rPr>
            </w:pPr>
          </w:p>
        </w:tc>
        <w:tc>
          <w:tcPr>
            <w:tcW w:w="375" w:type="pct"/>
            <w:shd w:val="clear" w:color="auto" w:fill="auto"/>
            <w:noWrap/>
            <w:vAlign w:val="bottom"/>
          </w:tcPr>
          <w:p w:rsidR="005B4ED2" w:rsidRPr="00130F0B" w:rsidRDefault="005B4ED2" w:rsidP="00704CC0">
            <w:pPr>
              <w:keepNext/>
              <w:keepLines/>
              <w:tabs>
                <w:tab w:val="left" w:pos="567"/>
                <w:tab w:val="left" w:pos="1134"/>
                <w:tab w:val="left" w:pos="1701"/>
                <w:tab w:val="left" w:pos="2268"/>
              </w:tabs>
              <w:rPr>
                <w:rFonts w:cs="Arial"/>
                <w:sz w:val="18"/>
                <w:szCs w:val="18"/>
              </w:rPr>
            </w:pPr>
          </w:p>
        </w:tc>
        <w:tc>
          <w:tcPr>
            <w:tcW w:w="1000" w:type="pct"/>
            <w:tcBorders>
              <w:bottom w:val="single" w:sz="4" w:space="0" w:color="auto"/>
            </w:tcBorders>
            <w:shd w:val="clear" w:color="auto" w:fill="auto"/>
            <w:noWrap/>
          </w:tcPr>
          <w:p w:rsidR="005B4ED2" w:rsidRPr="00130F0B" w:rsidRDefault="005B4ED2" w:rsidP="00704CC0">
            <w:pPr>
              <w:keepNext/>
              <w:keepLines/>
              <w:tabs>
                <w:tab w:val="left" w:pos="567"/>
                <w:tab w:val="left" w:pos="1134"/>
                <w:tab w:val="left" w:pos="1701"/>
                <w:tab w:val="left" w:pos="2268"/>
              </w:tabs>
              <w:jc w:val="right"/>
              <w:rPr>
                <w:rFonts w:cs="Arial"/>
                <w:b/>
                <w:sz w:val="18"/>
                <w:szCs w:val="18"/>
              </w:rPr>
            </w:pPr>
            <w:r w:rsidRPr="00130F0B">
              <w:rPr>
                <w:rFonts w:cs="Arial"/>
                <w:b/>
                <w:sz w:val="18"/>
                <w:szCs w:val="18"/>
              </w:rPr>
              <w:t>4,996</w:t>
            </w:r>
          </w:p>
        </w:tc>
        <w:tc>
          <w:tcPr>
            <w:tcW w:w="125" w:type="pct"/>
            <w:shd w:val="clear" w:color="auto" w:fill="auto"/>
            <w:noWrap/>
          </w:tcPr>
          <w:p w:rsidR="005B4ED2" w:rsidRPr="00130F0B" w:rsidRDefault="005B4ED2" w:rsidP="00704CC0">
            <w:pPr>
              <w:keepNext/>
              <w:keepLines/>
              <w:tabs>
                <w:tab w:val="left" w:pos="567"/>
                <w:tab w:val="left" w:pos="1134"/>
                <w:tab w:val="left" w:pos="1701"/>
                <w:tab w:val="left" w:pos="2268"/>
              </w:tabs>
              <w:jc w:val="right"/>
              <w:rPr>
                <w:rFonts w:cs="Arial"/>
                <w:sz w:val="18"/>
                <w:szCs w:val="18"/>
              </w:rPr>
            </w:pPr>
          </w:p>
        </w:tc>
        <w:tc>
          <w:tcPr>
            <w:tcW w:w="1000" w:type="pct"/>
            <w:tcBorders>
              <w:bottom w:val="single" w:sz="4" w:space="0" w:color="auto"/>
            </w:tcBorders>
          </w:tcPr>
          <w:p w:rsidR="005B4ED2" w:rsidRPr="00130F0B" w:rsidRDefault="005B4ED2" w:rsidP="00704CC0">
            <w:pPr>
              <w:keepNext/>
              <w:keepLines/>
              <w:tabs>
                <w:tab w:val="left" w:pos="567"/>
                <w:tab w:val="left" w:pos="1134"/>
                <w:tab w:val="left" w:pos="1701"/>
                <w:tab w:val="left" w:pos="2268"/>
              </w:tabs>
              <w:jc w:val="right"/>
              <w:rPr>
                <w:rFonts w:cs="Arial"/>
                <w:sz w:val="18"/>
                <w:szCs w:val="18"/>
              </w:rPr>
            </w:pPr>
            <w:r w:rsidRPr="00130F0B">
              <w:rPr>
                <w:rFonts w:cs="Arial"/>
                <w:sz w:val="18"/>
                <w:szCs w:val="18"/>
              </w:rPr>
              <w:t>10,000</w:t>
            </w:r>
          </w:p>
        </w:tc>
      </w:tr>
      <w:tr w:rsidR="005B4ED2" w:rsidRPr="00A76890" w:rsidTr="00562F9C">
        <w:tc>
          <w:tcPr>
            <w:tcW w:w="2500" w:type="pct"/>
            <w:shd w:val="clear" w:color="auto" w:fill="auto"/>
            <w:noWrap/>
            <w:vAlign w:val="bottom"/>
          </w:tcPr>
          <w:p w:rsidR="005B4ED2" w:rsidRPr="00130F0B" w:rsidRDefault="005B4ED2" w:rsidP="00704CC0">
            <w:pPr>
              <w:keepNext/>
              <w:keepLines/>
              <w:tabs>
                <w:tab w:val="left" w:pos="567"/>
                <w:tab w:val="left" w:pos="1134"/>
                <w:tab w:val="left" w:pos="1701"/>
                <w:tab w:val="left" w:pos="2268"/>
              </w:tabs>
              <w:ind w:left="567"/>
              <w:rPr>
                <w:rFonts w:cs="Arial"/>
                <w:sz w:val="18"/>
                <w:szCs w:val="18"/>
              </w:rPr>
            </w:pPr>
            <w:r w:rsidRPr="00130F0B">
              <w:rPr>
                <w:rFonts w:cs="Arial"/>
                <w:sz w:val="18"/>
                <w:szCs w:val="18"/>
              </w:rPr>
              <w:t>Less : Provision for impairment**</w:t>
            </w:r>
          </w:p>
        </w:tc>
        <w:tc>
          <w:tcPr>
            <w:tcW w:w="375" w:type="pct"/>
            <w:shd w:val="clear" w:color="auto" w:fill="auto"/>
            <w:noWrap/>
            <w:vAlign w:val="bottom"/>
          </w:tcPr>
          <w:p w:rsidR="005B4ED2" w:rsidRPr="00130F0B" w:rsidRDefault="005B4ED2" w:rsidP="00704CC0">
            <w:pPr>
              <w:keepNext/>
              <w:keepLines/>
              <w:tabs>
                <w:tab w:val="left" w:pos="567"/>
                <w:tab w:val="left" w:pos="1134"/>
                <w:tab w:val="left" w:pos="1701"/>
                <w:tab w:val="left" w:pos="2268"/>
              </w:tabs>
              <w:rPr>
                <w:rFonts w:cs="Arial"/>
                <w:sz w:val="18"/>
                <w:szCs w:val="18"/>
              </w:rPr>
            </w:pPr>
          </w:p>
        </w:tc>
        <w:tc>
          <w:tcPr>
            <w:tcW w:w="1000" w:type="pct"/>
            <w:tcBorders>
              <w:bottom w:val="single" w:sz="4" w:space="0" w:color="auto"/>
            </w:tcBorders>
            <w:shd w:val="clear" w:color="auto" w:fill="auto"/>
            <w:noWrap/>
          </w:tcPr>
          <w:p w:rsidR="005B4ED2" w:rsidRPr="00130F0B" w:rsidRDefault="005B4ED2" w:rsidP="00704CC0">
            <w:pPr>
              <w:keepNext/>
              <w:keepLines/>
              <w:tabs>
                <w:tab w:val="left" w:pos="567"/>
                <w:tab w:val="left" w:pos="1134"/>
                <w:tab w:val="left" w:pos="1701"/>
                <w:tab w:val="left" w:pos="2268"/>
              </w:tabs>
              <w:jc w:val="right"/>
              <w:rPr>
                <w:rFonts w:cs="Arial"/>
                <w:b/>
                <w:sz w:val="18"/>
                <w:szCs w:val="18"/>
              </w:rPr>
            </w:pPr>
            <w:r w:rsidRPr="00130F0B">
              <w:rPr>
                <w:rFonts w:cs="Arial"/>
                <w:b/>
                <w:sz w:val="18"/>
                <w:szCs w:val="18"/>
              </w:rPr>
              <w:t>(4,996)</w:t>
            </w:r>
          </w:p>
        </w:tc>
        <w:tc>
          <w:tcPr>
            <w:tcW w:w="125" w:type="pct"/>
            <w:shd w:val="clear" w:color="auto" w:fill="auto"/>
            <w:noWrap/>
          </w:tcPr>
          <w:p w:rsidR="005B4ED2" w:rsidRPr="00130F0B" w:rsidRDefault="005B4ED2" w:rsidP="00704CC0">
            <w:pPr>
              <w:keepNext/>
              <w:keepLines/>
              <w:tabs>
                <w:tab w:val="left" w:pos="567"/>
                <w:tab w:val="left" w:pos="1134"/>
                <w:tab w:val="left" w:pos="1701"/>
                <w:tab w:val="left" w:pos="2268"/>
              </w:tabs>
              <w:jc w:val="right"/>
              <w:rPr>
                <w:rFonts w:cs="Arial"/>
                <w:sz w:val="18"/>
                <w:szCs w:val="18"/>
              </w:rPr>
            </w:pPr>
          </w:p>
        </w:tc>
        <w:tc>
          <w:tcPr>
            <w:tcW w:w="1000" w:type="pct"/>
            <w:tcBorders>
              <w:bottom w:val="single" w:sz="4" w:space="0" w:color="auto"/>
            </w:tcBorders>
          </w:tcPr>
          <w:p w:rsidR="005B4ED2" w:rsidRPr="00130F0B" w:rsidRDefault="005B4ED2" w:rsidP="00704CC0">
            <w:pPr>
              <w:keepNext/>
              <w:keepLines/>
              <w:tabs>
                <w:tab w:val="left" w:pos="567"/>
                <w:tab w:val="left" w:pos="1134"/>
                <w:tab w:val="left" w:pos="1701"/>
                <w:tab w:val="left" w:pos="2268"/>
              </w:tabs>
              <w:jc w:val="right"/>
              <w:rPr>
                <w:rFonts w:cs="Arial"/>
                <w:sz w:val="18"/>
                <w:szCs w:val="18"/>
              </w:rPr>
            </w:pPr>
            <w:r w:rsidRPr="00130F0B">
              <w:rPr>
                <w:rFonts w:cs="Arial"/>
                <w:sz w:val="18"/>
                <w:szCs w:val="18"/>
              </w:rPr>
              <w:t>(5,046)</w:t>
            </w:r>
          </w:p>
        </w:tc>
      </w:tr>
      <w:tr w:rsidR="005B4ED2" w:rsidRPr="00A76890" w:rsidTr="00562F9C">
        <w:tc>
          <w:tcPr>
            <w:tcW w:w="2500" w:type="pct"/>
            <w:shd w:val="clear" w:color="auto" w:fill="auto"/>
            <w:noWrap/>
            <w:vAlign w:val="bottom"/>
          </w:tcPr>
          <w:p w:rsidR="005B4ED2" w:rsidRPr="00130F0B" w:rsidRDefault="005B4ED2" w:rsidP="00704CC0">
            <w:pPr>
              <w:keepNext/>
              <w:keepLines/>
              <w:tabs>
                <w:tab w:val="left" w:pos="567"/>
                <w:tab w:val="left" w:pos="1134"/>
                <w:tab w:val="left" w:pos="1701"/>
                <w:tab w:val="left" w:pos="2268"/>
              </w:tabs>
              <w:ind w:left="567"/>
              <w:rPr>
                <w:rFonts w:cs="Arial"/>
                <w:b/>
                <w:sz w:val="18"/>
                <w:szCs w:val="18"/>
              </w:rPr>
            </w:pPr>
            <w:r w:rsidRPr="00130F0B">
              <w:rPr>
                <w:rFonts w:cs="Arial"/>
                <w:b/>
                <w:sz w:val="18"/>
                <w:szCs w:val="18"/>
              </w:rPr>
              <w:t>B</w:t>
            </w:r>
          </w:p>
        </w:tc>
        <w:tc>
          <w:tcPr>
            <w:tcW w:w="375" w:type="pct"/>
            <w:shd w:val="clear" w:color="auto" w:fill="auto"/>
            <w:noWrap/>
            <w:vAlign w:val="bottom"/>
          </w:tcPr>
          <w:p w:rsidR="005B4ED2" w:rsidRPr="00130F0B" w:rsidRDefault="005B4ED2" w:rsidP="00704CC0">
            <w:pPr>
              <w:keepNext/>
              <w:keepLines/>
              <w:tabs>
                <w:tab w:val="left" w:pos="567"/>
                <w:tab w:val="left" w:pos="1134"/>
                <w:tab w:val="left" w:pos="1701"/>
                <w:tab w:val="left" w:pos="2268"/>
              </w:tabs>
              <w:rPr>
                <w:rFonts w:cs="Arial"/>
                <w:sz w:val="18"/>
                <w:szCs w:val="18"/>
              </w:rPr>
            </w:pPr>
          </w:p>
        </w:tc>
        <w:tc>
          <w:tcPr>
            <w:tcW w:w="1000" w:type="pct"/>
            <w:tcBorders>
              <w:top w:val="single" w:sz="4" w:space="0" w:color="auto"/>
              <w:bottom w:val="single" w:sz="4" w:space="0" w:color="auto"/>
            </w:tcBorders>
            <w:shd w:val="clear" w:color="auto" w:fill="auto"/>
            <w:noWrap/>
          </w:tcPr>
          <w:p w:rsidR="005B4ED2" w:rsidRPr="00130F0B" w:rsidRDefault="005B4ED2" w:rsidP="00704CC0">
            <w:pPr>
              <w:keepNext/>
              <w:keepLines/>
              <w:tabs>
                <w:tab w:val="left" w:pos="567"/>
                <w:tab w:val="left" w:pos="1134"/>
                <w:tab w:val="left" w:pos="1701"/>
                <w:tab w:val="left" w:pos="2268"/>
              </w:tabs>
              <w:jc w:val="right"/>
              <w:rPr>
                <w:rFonts w:cs="Arial"/>
                <w:b/>
                <w:sz w:val="18"/>
                <w:szCs w:val="18"/>
              </w:rPr>
            </w:pPr>
            <w:r w:rsidRPr="00130F0B">
              <w:rPr>
                <w:rFonts w:cs="Arial"/>
                <w:b/>
                <w:sz w:val="18"/>
                <w:szCs w:val="18"/>
              </w:rPr>
              <w:t>-</w:t>
            </w:r>
          </w:p>
        </w:tc>
        <w:tc>
          <w:tcPr>
            <w:tcW w:w="125" w:type="pct"/>
            <w:shd w:val="clear" w:color="auto" w:fill="auto"/>
            <w:noWrap/>
          </w:tcPr>
          <w:p w:rsidR="005B4ED2" w:rsidRPr="00130F0B" w:rsidRDefault="005B4ED2" w:rsidP="00704CC0">
            <w:pPr>
              <w:keepNext/>
              <w:keepLines/>
              <w:tabs>
                <w:tab w:val="left" w:pos="567"/>
                <w:tab w:val="left" w:pos="1134"/>
                <w:tab w:val="left" w:pos="1701"/>
                <w:tab w:val="left" w:pos="2268"/>
              </w:tabs>
              <w:jc w:val="right"/>
              <w:rPr>
                <w:rFonts w:cs="Arial"/>
                <w:sz w:val="18"/>
                <w:szCs w:val="18"/>
              </w:rPr>
            </w:pPr>
          </w:p>
        </w:tc>
        <w:tc>
          <w:tcPr>
            <w:tcW w:w="1000" w:type="pct"/>
            <w:tcBorders>
              <w:top w:val="single" w:sz="4" w:space="0" w:color="auto"/>
              <w:bottom w:val="single" w:sz="4" w:space="0" w:color="auto"/>
            </w:tcBorders>
          </w:tcPr>
          <w:p w:rsidR="005B4ED2" w:rsidRPr="00130F0B" w:rsidRDefault="005B4ED2" w:rsidP="00704CC0">
            <w:pPr>
              <w:keepNext/>
              <w:keepLines/>
              <w:tabs>
                <w:tab w:val="left" w:pos="567"/>
                <w:tab w:val="left" w:pos="1134"/>
                <w:tab w:val="left" w:pos="1701"/>
                <w:tab w:val="left" w:pos="2268"/>
              </w:tabs>
              <w:jc w:val="right"/>
              <w:rPr>
                <w:rFonts w:cs="Arial"/>
                <w:sz w:val="18"/>
                <w:szCs w:val="18"/>
              </w:rPr>
            </w:pPr>
            <w:r w:rsidRPr="00130F0B">
              <w:rPr>
                <w:rFonts w:cs="Arial"/>
                <w:sz w:val="18"/>
                <w:szCs w:val="18"/>
              </w:rPr>
              <w:t>4,954</w:t>
            </w:r>
          </w:p>
        </w:tc>
      </w:tr>
      <w:tr w:rsidR="005B4ED2" w:rsidRPr="00A76890" w:rsidTr="00562F9C">
        <w:tc>
          <w:tcPr>
            <w:tcW w:w="2500" w:type="pct"/>
            <w:shd w:val="clear" w:color="auto" w:fill="auto"/>
            <w:noWrap/>
            <w:vAlign w:val="bottom"/>
          </w:tcPr>
          <w:p w:rsidR="005B4ED2" w:rsidRPr="00130F0B" w:rsidRDefault="005B4ED2" w:rsidP="00704CC0">
            <w:pPr>
              <w:tabs>
                <w:tab w:val="left" w:pos="567"/>
                <w:tab w:val="left" w:pos="1134"/>
                <w:tab w:val="left" w:pos="1701"/>
                <w:tab w:val="left" w:pos="2268"/>
              </w:tabs>
              <w:ind w:left="567"/>
              <w:rPr>
                <w:rFonts w:cs="Arial"/>
                <w:b/>
                <w:sz w:val="18"/>
                <w:szCs w:val="18"/>
              </w:rPr>
            </w:pPr>
            <w:r w:rsidRPr="00130F0B">
              <w:rPr>
                <w:rFonts w:cs="Arial"/>
                <w:b/>
                <w:sz w:val="18"/>
                <w:szCs w:val="18"/>
              </w:rPr>
              <w:t>Total (A+B)</w:t>
            </w:r>
          </w:p>
        </w:tc>
        <w:tc>
          <w:tcPr>
            <w:tcW w:w="375" w:type="pct"/>
            <w:shd w:val="clear" w:color="auto" w:fill="auto"/>
            <w:noWrap/>
            <w:vAlign w:val="bottom"/>
          </w:tcPr>
          <w:p w:rsidR="005B4ED2" w:rsidRPr="00130F0B" w:rsidRDefault="005B4ED2" w:rsidP="00704CC0">
            <w:pPr>
              <w:tabs>
                <w:tab w:val="left" w:pos="567"/>
                <w:tab w:val="left" w:pos="1134"/>
                <w:tab w:val="left" w:pos="1701"/>
                <w:tab w:val="left" w:pos="2268"/>
              </w:tabs>
              <w:rPr>
                <w:rFonts w:cs="Arial"/>
                <w:sz w:val="18"/>
                <w:szCs w:val="18"/>
              </w:rPr>
            </w:pPr>
          </w:p>
        </w:tc>
        <w:tc>
          <w:tcPr>
            <w:tcW w:w="1000" w:type="pct"/>
            <w:tcBorders>
              <w:top w:val="single" w:sz="4" w:space="0" w:color="auto"/>
              <w:bottom w:val="single" w:sz="4" w:space="0" w:color="auto"/>
            </w:tcBorders>
            <w:shd w:val="clear" w:color="auto" w:fill="auto"/>
            <w:noWrap/>
          </w:tcPr>
          <w:p w:rsidR="005B4ED2" w:rsidRPr="00130F0B" w:rsidRDefault="005B4ED2" w:rsidP="00704CC0">
            <w:pPr>
              <w:tabs>
                <w:tab w:val="left" w:pos="567"/>
                <w:tab w:val="left" w:pos="1134"/>
                <w:tab w:val="left" w:pos="1701"/>
                <w:tab w:val="left" w:pos="2268"/>
              </w:tabs>
              <w:jc w:val="right"/>
              <w:rPr>
                <w:rFonts w:cs="Arial"/>
                <w:b/>
                <w:sz w:val="18"/>
                <w:szCs w:val="18"/>
              </w:rPr>
            </w:pPr>
            <w:r w:rsidRPr="00130F0B">
              <w:rPr>
                <w:rFonts w:cs="Arial"/>
                <w:b/>
                <w:sz w:val="18"/>
                <w:szCs w:val="18"/>
              </w:rPr>
              <w:t>5,047</w:t>
            </w:r>
          </w:p>
        </w:tc>
        <w:tc>
          <w:tcPr>
            <w:tcW w:w="125" w:type="pct"/>
            <w:shd w:val="clear" w:color="auto" w:fill="auto"/>
            <w:noWrap/>
          </w:tcPr>
          <w:p w:rsidR="005B4ED2" w:rsidRPr="00130F0B" w:rsidRDefault="005B4ED2" w:rsidP="00704CC0">
            <w:pPr>
              <w:tabs>
                <w:tab w:val="left" w:pos="567"/>
                <w:tab w:val="left" w:pos="1134"/>
                <w:tab w:val="left" w:pos="1701"/>
                <w:tab w:val="left" w:pos="2268"/>
              </w:tabs>
              <w:jc w:val="right"/>
              <w:rPr>
                <w:rFonts w:cs="Arial"/>
                <w:sz w:val="18"/>
                <w:szCs w:val="18"/>
              </w:rPr>
            </w:pPr>
          </w:p>
        </w:tc>
        <w:tc>
          <w:tcPr>
            <w:tcW w:w="1000" w:type="pct"/>
            <w:tcBorders>
              <w:top w:val="single" w:sz="4" w:space="0" w:color="auto"/>
              <w:bottom w:val="single" w:sz="4" w:space="0" w:color="auto"/>
            </w:tcBorders>
          </w:tcPr>
          <w:p w:rsidR="005B4ED2" w:rsidRPr="00130F0B" w:rsidRDefault="005B4ED2" w:rsidP="00704CC0">
            <w:pPr>
              <w:tabs>
                <w:tab w:val="left" w:pos="567"/>
                <w:tab w:val="left" w:pos="1134"/>
                <w:tab w:val="left" w:pos="1701"/>
                <w:tab w:val="left" w:pos="2268"/>
              </w:tabs>
              <w:jc w:val="right"/>
              <w:rPr>
                <w:rFonts w:cs="Arial"/>
                <w:sz w:val="18"/>
                <w:szCs w:val="18"/>
              </w:rPr>
            </w:pPr>
            <w:r w:rsidRPr="00130F0B">
              <w:rPr>
                <w:rFonts w:cs="Arial"/>
                <w:sz w:val="18"/>
                <w:szCs w:val="18"/>
              </w:rPr>
              <w:t>12,768</w:t>
            </w:r>
          </w:p>
        </w:tc>
      </w:tr>
    </w:tbl>
    <w:p w:rsidR="0092140F" w:rsidRPr="00A76890" w:rsidRDefault="0092140F" w:rsidP="00704CC0">
      <w:pPr>
        <w:pStyle w:val="Normal2-Para"/>
        <w:spacing w:line="240" w:lineRule="auto"/>
        <w:ind w:left="567"/>
      </w:pPr>
      <w:r w:rsidRPr="00A76890">
        <w:t>* As of 31 August 201</w:t>
      </w:r>
      <w:r w:rsidR="009C66B9" w:rsidRPr="00A76890">
        <w:t>3</w:t>
      </w:r>
      <w:r w:rsidRPr="00A76890">
        <w:t>,</w:t>
      </w:r>
      <w:r w:rsidR="0099000B" w:rsidRPr="00A76890">
        <w:t xml:space="preserve"> a </w:t>
      </w:r>
      <w:r w:rsidRPr="00A76890">
        <w:t>loan of GBP</w:t>
      </w:r>
      <w:r w:rsidR="00714907" w:rsidRPr="00A76890">
        <w:t xml:space="preserve"> 18,996</w:t>
      </w:r>
      <w:r w:rsidRPr="00A76890">
        <w:t xml:space="preserve"> thousand was </w:t>
      </w:r>
      <w:r w:rsidR="00392DE0" w:rsidRPr="00A76890">
        <w:t>outstanding between</w:t>
      </w:r>
      <w:r w:rsidRPr="00A76890">
        <w:t xml:space="preserve"> Elephant Capital plc </w:t>
      </w:r>
      <w:r w:rsidR="00392DE0" w:rsidRPr="00A76890">
        <w:t>and</w:t>
      </w:r>
      <w:r w:rsidRPr="00A76890">
        <w:t xml:space="preserve"> Elephant Capital LP in order to provide further funds to Tusk Investments 1 Limited for making investments in certain investee companies in accordance with the investment strategy of the Group. </w:t>
      </w:r>
    </w:p>
    <w:p w:rsidR="0092140F" w:rsidRPr="00A76890" w:rsidRDefault="0092140F" w:rsidP="00704CC0">
      <w:pPr>
        <w:pStyle w:val="Normal2-Para"/>
        <w:spacing w:line="240" w:lineRule="auto"/>
        <w:ind w:left="567"/>
      </w:pPr>
      <w:r w:rsidRPr="00A76890">
        <w:t>Further, the loan classified as non-current has not been discounted to its present value, as the repayment period is not determinable.</w:t>
      </w:r>
    </w:p>
    <w:p w:rsidR="002A30E5" w:rsidRPr="00A76890" w:rsidRDefault="0092140F" w:rsidP="00704CC0">
      <w:pPr>
        <w:pStyle w:val="Normal2-Para"/>
        <w:spacing w:line="240" w:lineRule="auto"/>
        <w:ind w:left="567"/>
      </w:pPr>
      <w:r w:rsidRPr="00A76890">
        <w:t>** As of 31 August 201</w:t>
      </w:r>
      <w:r w:rsidR="009C66B9" w:rsidRPr="00A76890">
        <w:t>3</w:t>
      </w:r>
      <w:r w:rsidRPr="00A76890">
        <w:t xml:space="preserve">, in the Company financial statements, an impairment analysis of the loan to subsidiaries was </w:t>
      </w:r>
      <w:r w:rsidR="00D665B8" w:rsidRPr="00A76890">
        <w:t xml:space="preserve">carried out </w:t>
      </w:r>
      <w:r w:rsidRPr="00A76890">
        <w:t>and consequently, a</w:t>
      </w:r>
      <w:r w:rsidR="004D3132" w:rsidRPr="00A76890">
        <w:t xml:space="preserve">n </w:t>
      </w:r>
      <w:r w:rsidR="004A6792" w:rsidRPr="00A76890">
        <w:t>additional impairment</w:t>
      </w:r>
      <w:r w:rsidRPr="00A76890">
        <w:t xml:space="preserve"> loss </w:t>
      </w:r>
      <w:r w:rsidR="00D665B8" w:rsidRPr="00A76890">
        <w:t xml:space="preserve">of </w:t>
      </w:r>
      <w:r w:rsidRPr="00A76890">
        <w:t>GBP</w:t>
      </w:r>
      <w:r w:rsidR="00B61FA6" w:rsidRPr="00A76890">
        <w:t xml:space="preserve"> </w:t>
      </w:r>
      <w:r w:rsidR="007B789B" w:rsidRPr="00A76890">
        <w:t>2</w:t>
      </w:r>
      <w:r w:rsidR="00714907" w:rsidRPr="00A76890">
        <w:t>,</w:t>
      </w:r>
      <w:r w:rsidR="007B789B" w:rsidRPr="00A76890">
        <w:t>7</w:t>
      </w:r>
      <w:r w:rsidR="00471025" w:rsidRPr="00A76890">
        <w:t>1</w:t>
      </w:r>
      <w:r w:rsidR="007B789B" w:rsidRPr="00A76890">
        <w:t>7</w:t>
      </w:r>
      <w:r w:rsidRPr="00A76890">
        <w:t xml:space="preserve"> thousand was recorded on account </w:t>
      </w:r>
      <w:r w:rsidR="00D665B8" w:rsidRPr="00A76890">
        <w:t xml:space="preserve">of </w:t>
      </w:r>
      <w:r w:rsidR="004D3132" w:rsidRPr="00A76890">
        <w:t>decline in the value of investment</w:t>
      </w:r>
      <w:r w:rsidRPr="00A76890">
        <w:t xml:space="preserve"> made through </w:t>
      </w:r>
      <w:r w:rsidR="00476E94" w:rsidRPr="00A76890">
        <w:t>G</w:t>
      </w:r>
      <w:r w:rsidRPr="00A76890">
        <w:t>roup subsidiaries.</w:t>
      </w:r>
    </w:p>
    <w:p w:rsidR="00863596" w:rsidRPr="00AE70E3" w:rsidRDefault="0092140F" w:rsidP="00704CC0">
      <w:pPr>
        <w:keepNext/>
        <w:keepLines/>
        <w:numPr>
          <w:ilvl w:val="0"/>
          <w:numId w:val="4"/>
        </w:numPr>
        <w:tabs>
          <w:tab w:val="clear" w:pos="810"/>
          <w:tab w:val="left" w:pos="567"/>
          <w:tab w:val="left" w:pos="1134"/>
          <w:tab w:val="left" w:pos="1701"/>
          <w:tab w:val="left" w:pos="2268"/>
        </w:tabs>
        <w:spacing w:before="240"/>
        <w:ind w:left="567" w:hanging="567"/>
        <w:rPr>
          <w:rFonts w:cs="Arial"/>
          <w:b/>
        </w:rPr>
      </w:pPr>
      <w:r w:rsidRPr="00AE70E3">
        <w:rPr>
          <w:rFonts w:cs="Arial"/>
          <w:b/>
        </w:rPr>
        <w:t>Investments at fair value through profit or loss</w:t>
      </w:r>
    </w:p>
    <w:p w:rsidR="0092140F" w:rsidRPr="00A76890" w:rsidRDefault="0092140F" w:rsidP="00704CC0">
      <w:pPr>
        <w:pStyle w:val="Normal2-Para"/>
        <w:spacing w:line="240" w:lineRule="auto"/>
        <w:ind w:left="567"/>
      </w:pPr>
      <w:r w:rsidRPr="00A76890">
        <w:t>The Group has invested in a portfolio of quoted and unquoted securities. The quoted securities are listed on the Bombay Stock Exchange (</w:t>
      </w:r>
      <w:r w:rsidR="00476E94" w:rsidRPr="00A76890">
        <w:t>“</w:t>
      </w:r>
      <w:r w:rsidRPr="00A76890">
        <w:t>BSE</w:t>
      </w:r>
      <w:r w:rsidR="00476E94" w:rsidRPr="00A76890">
        <w:t>”</w:t>
      </w:r>
      <w:r w:rsidRPr="00A76890">
        <w:t>) and the National Stock Exchange (</w:t>
      </w:r>
      <w:r w:rsidR="00476E94" w:rsidRPr="00A76890">
        <w:t>“</w:t>
      </w:r>
      <w:r w:rsidRPr="00A76890">
        <w:t>NSE</w:t>
      </w:r>
      <w:r w:rsidR="00476E94" w:rsidRPr="00A76890">
        <w:t>”</w:t>
      </w:r>
      <w:r w:rsidRPr="00A76890">
        <w:t>), India and the value of such quoted investments has been determined using the closing bid market prices on the NSE as at the reporting date.</w:t>
      </w:r>
    </w:p>
    <w:p w:rsidR="002A30E5" w:rsidRPr="00A76890" w:rsidRDefault="0092140F" w:rsidP="00704CC0">
      <w:pPr>
        <w:pStyle w:val="Normal2-Para"/>
        <w:spacing w:line="240" w:lineRule="auto"/>
        <w:ind w:left="567"/>
      </w:pPr>
      <w:r w:rsidRPr="00A76890">
        <w:t>The Group has made various investments in unquoted securities as summarised below. The fair value of the unquoted investments</w:t>
      </w:r>
      <w:r w:rsidR="00B63E9C" w:rsidRPr="00A76890">
        <w:t xml:space="preserve"> </w:t>
      </w:r>
      <w:r w:rsidRPr="00A76890">
        <w:t>has been determined using appropriate methodology in accordance with International Private Equity and Venture Capital Guidelines and guidance provided in IAS 39.</w:t>
      </w:r>
    </w:p>
    <w:p w:rsidR="00AE70E3" w:rsidRDefault="0092140F" w:rsidP="00704CC0">
      <w:pPr>
        <w:pStyle w:val="Normal3-Sub-para"/>
        <w:numPr>
          <w:ilvl w:val="0"/>
          <w:numId w:val="17"/>
        </w:numPr>
        <w:spacing w:line="240" w:lineRule="auto"/>
        <w:ind w:left="1134" w:hanging="567"/>
      </w:pPr>
      <w:r w:rsidRPr="00AE70E3">
        <w:t>Global Cricket Ventures (</w:t>
      </w:r>
      <w:r w:rsidR="00476E94" w:rsidRPr="00AE70E3">
        <w:t>“</w:t>
      </w:r>
      <w:r w:rsidRPr="00AE70E3">
        <w:t>GCV</w:t>
      </w:r>
      <w:r w:rsidR="00476E94" w:rsidRPr="00AE70E3">
        <w:t>”</w:t>
      </w:r>
      <w:r w:rsidRPr="00AE70E3">
        <w:t>) – As at 31 August 201</w:t>
      </w:r>
      <w:r w:rsidR="009C66B9" w:rsidRPr="00AE70E3">
        <w:t>3</w:t>
      </w:r>
      <w:r w:rsidR="00567FC0" w:rsidRPr="00AE70E3">
        <w:t>, the</w:t>
      </w:r>
      <w:r w:rsidRPr="00AE70E3">
        <w:t xml:space="preserve"> Group h</w:t>
      </w:r>
      <w:r w:rsidR="00D665B8" w:rsidRPr="00AE70E3">
        <w:t>eld a</w:t>
      </w:r>
      <w:r w:rsidRPr="00AE70E3">
        <w:t xml:space="preserve"> 45.5</w:t>
      </w:r>
      <w:r w:rsidR="00EC5C5C" w:rsidRPr="00AE70E3">
        <w:t>6</w:t>
      </w:r>
      <w:r w:rsidRPr="00AE70E3">
        <w:t>% equity stake in Global Cricket Ventures Limited (Mauritius)</w:t>
      </w:r>
      <w:r w:rsidR="005902BF" w:rsidRPr="00AE70E3">
        <w:t xml:space="preserve"> which had been acquired for GBP 5</w:t>
      </w:r>
      <w:r w:rsidR="00116194" w:rsidRPr="00AE70E3">
        <w:t>,</w:t>
      </w:r>
      <w:r w:rsidR="005902BF" w:rsidRPr="00AE70E3">
        <w:t xml:space="preserve">949 thousand. </w:t>
      </w:r>
      <w:r w:rsidR="00D665B8" w:rsidRPr="00AE70E3">
        <w:t>T</w:t>
      </w:r>
      <w:r w:rsidRPr="00AE70E3">
        <w:t xml:space="preserve">he </w:t>
      </w:r>
      <w:r w:rsidR="00D665B8" w:rsidRPr="00AE70E3">
        <w:t xml:space="preserve">Company’s </w:t>
      </w:r>
      <w:r w:rsidR="00476E94" w:rsidRPr="00AE70E3">
        <w:t>D</w:t>
      </w:r>
      <w:r w:rsidR="00D665B8" w:rsidRPr="00AE70E3">
        <w:t xml:space="preserve">irectors have </w:t>
      </w:r>
      <w:r w:rsidRPr="00AE70E3">
        <w:t>decided to exit from this investment and accordingly, the value of this investment as on 31 August 201</w:t>
      </w:r>
      <w:r w:rsidR="009C66B9" w:rsidRPr="00AE70E3">
        <w:t>3</w:t>
      </w:r>
      <w:r w:rsidRPr="00AE70E3">
        <w:t xml:space="preserve"> has been determined on the basis of best estimate of net assets of GCV attributable to Elephant Capital’s shareholding</w:t>
      </w:r>
      <w:r w:rsidR="00AE30CF" w:rsidRPr="00AE70E3">
        <w:t>.</w:t>
      </w:r>
    </w:p>
    <w:p w:rsidR="00AE70E3" w:rsidRDefault="00D953E7" w:rsidP="00704CC0">
      <w:pPr>
        <w:pStyle w:val="Normal3-Sub-para"/>
        <w:numPr>
          <w:ilvl w:val="0"/>
          <w:numId w:val="17"/>
        </w:numPr>
        <w:spacing w:line="240" w:lineRule="auto"/>
        <w:ind w:left="1134" w:hanging="567"/>
      </w:pPr>
      <w:r w:rsidRPr="00AE70E3">
        <w:t xml:space="preserve">Obopay - Pursuant to the execution of an Agreement and Plan of Merger of OBP Investments, OBP Investments, Inc., stakeholders representative with Obopay Inc. (Obopay), the capital stock of Obopay (except series G Preferred stock) issued and outstanding immediately (including Elephant Capital‘s holding in series C and Series D preferred stock) prior to the Merger was cancelled and extinguished without any conversion thereof and no payment or distribution was made. Therefore the holding of Elephant Capital in Series C and D preferred stock </w:t>
      </w:r>
      <w:r w:rsidR="00951EFA" w:rsidRPr="00AE70E3">
        <w:t>was</w:t>
      </w:r>
      <w:r w:rsidRPr="00AE70E3">
        <w:t xml:space="preserve"> valued at </w:t>
      </w:r>
      <w:r w:rsidR="00476E94" w:rsidRPr="00AE70E3">
        <w:t>n</w:t>
      </w:r>
      <w:r w:rsidRPr="00AE70E3">
        <w:t>il</w:t>
      </w:r>
      <w:r w:rsidR="00B601F5" w:rsidRPr="00AE70E3">
        <w:t xml:space="preserve"> as at 31 August 2012 and the same basis </w:t>
      </w:r>
      <w:r w:rsidR="00807361" w:rsidRPr="00AE70E3">
        <w:t>of valuation</w:t>
      </w:r>
      <w:r w:rsidR="00B601F5" w:rsidRPr="00AE70E3">
        <w:t xml:space="preserve"> has been followed </w:t>
      </w:r>
      <w:r w:rsidR="00951EFA" w:rsidRPr="00AE70E3">
        <w:t>for</w:t>
      </w:r>
      <w:r w:rsidR="00B601F5" w:rsidRPr="00AE70E3">
        <w:t xml:space="preserve"> 31 August 2013</w:t>
      </w:r>
      <w:r w:rsidRPr="00AE70E3">
        <w:t>.</w:t>
      </w:r>
    </w:p>
    <w:p w:rsidR="00B11CF1" w:rsidRDefault="0092140F" w:rsidP="00704CC0">
      <w:pPr>
        <w:pStyle w:val="Normal3-Sub-para"/>
        <w:numPr>
          <w:ilvl w:val="0"/>
          <w:numId w:val="17"/>
        </w:numPr>
        <w:spacing w:after="60" w:line="240" w:lineRule="auto"/>
        <w:ind w:left="1134" w:hanging="567"/>
      </w:pPr>
      <w:proofErr w:type="spellStart"/>
      <w:r w:rsidRPr="00AE70E3">
        <w:t>Amar</w:t>
      </w:r>
      <w:proofErr w:type="spellEnd"/>
      <w:r w:rsidRPr="00AE70E3">
        <w:t xml:space="preserve"> </w:t>
      </w:r>
      <w:proofErr w:type="spellStart"/>
      <w:r w:rsidRPr="00AE70E3">
        <w:t>Chitra</w:t>
      </w:r>
      <w:proofErr w:type="spellEnd"/>
      <w:r w:rsidRPr="00AE70E3">
        <w:t xml:space="preserve"> </w:t>
      </w:r>
      <w:proofErr w:type="spellStart"/>
      <w:r w:rsidRPr="00AE70E3">
        <w:t>Katha</w:t>
      </w:r>
      <w:proofErr w:type="spellEnd"/>
      <w:r w:rsidRPr="00AE70E3">
        <w:t xml:space="preserve"> (</w:t>
      </w:r>
      <w:r w:rsidR="00476E94" w:rsidRPr="00AE70E3">
        <w:t>“</w:t>
      </w:r>
      <w:r w:rsidRPr="00AE70E3">
        <w:t>ACK</w:t>
      </w:r>
      <w:r w:rsidR="00476E94" w:rsidRPr="00AE70E3">
        <w:t>”</w:t>
      </w:r>
      <w:r w:rsidRPr="00AE70E3">
        <w:t xml:space="preserve"> )- As at 31 August 201</w:t>
      </w:r>
      <w:r w:rsidR="009C66B9" w:rsidRPr="00AE70E3">
        <w:t>3</w:t>
      </w:r>
      <w:r w:rsidRPr="00AE70E3">
        <w:t>, the Group h</w:t>
      </w:r>
      <w:r w:rsidR="00D665B8" w:rsidRPr="00AE70E3">
        <w:t>eld</w:t>
      </w:r>
      <w:r w:rsidR="00B63E9C" w:rsidRPr="00AE70E3">
        <w:t xml:space="preserve"> </w:t>
      </w:r>
      <w:r w:rsidR="00D665B8" w:rsidRPr="00AE70E3">
        <w:t xml:space="preserve">a </w:t>
      </w:r>
      <w:r w:rsidRPr="00AE70E3">
        <w:t xml:space="preserve">25.87% equity stake in </w:t>
      </w:r>
      <w:proofErr w:type="spellStart"/>
      <w:r w:rsidRPr="00AE70E3">
        <w:t>Amar</w:t>
      </w:r>
      <w:proofErr w:type="spellEnd"/>
      <w:r w:rsidRPr="00AE70E3">
        <w:t xml:space="preserve"> </w:t>
      </w:r>
      <w:proofErr w:type="spellStart"/>
      <w:r w:rsidRPr="00AE70E3">
        <w:t>Chitra</w:t>
      </w:r>
      <w:proofErr w:type="spellEnd"/>
      <w:r w:rsidRPr="00AE70E3">
        <w:t xml:space="preserve"> </w:t>
      </w:r>
      <w:proofErr w:type="spellStart"/>
      <w:r w:rsidRPr="00AE70E3">
        <w:t>Katha</w:t>
      </w:r>
      <w:proofErr w:type="spellEnd"/>
      <w:r w:rsidRPr="00AE70E3">
        <w:t xml:space="preserve"> (P) Ltd. at a total cost of GBP 4</w:t>
      </w:r>
      <w:r w:rsidR="002A30E5" w:rsidRPr="00AE70E3">
        <w:t>,</w:t>
      </w:r>
      <w:r w:rsidRPr="00AE70E3">
        <w:t xml:space="preserve">085 thousand. The investment has been valued on </w:t>
      </w:r>
      <w:r w:rsidR="00746EB5" w:rsidRPr="00AE70E3">
        <w:t xml:space="preserve">the </w:t>
      </w:r>
      <w:r w:rsidR="00E5062C" w:rsidRPr="00AE70E3">
        <w:t>“</w:t>
      </w:r>
      <w:r w:rsidRPr="00AE70E3">
        <w:t xml:space="preserve">discounted cash flows of </w:t>
      </w:r>
      <w:r w:rsidR="00746EB5" w:rsidRPr="00AE70E3">
        <w:t xml:space="preserve">the </w:t>
      </w:r>
      <w:r w:rsidRPr="00AE70E3">
        <w:t xml:space="preserve">earnings of underlying </w:t>
      </w:r>
      <w:r w:rsidR="00746EB5" w:rsidRPr="00AE70E3">
        <w:t>businesses</w:t>
      </w:r>
      <w:r w:rsidR="00E5062C" w:rsidRPr="00AE70E3">
        <w:t>”</w:t>
      </w:r>
      <w:r w:rsidRPr="00AE70E3">
        <w:t xml:space="preserve">. </w:t>
      </w:r>
      <w:r w:rsidR="00815F66" w:rsidRPr="00AE70E3">
        <w:t>The key assumptions used in the valuation of the investment as at 31 August 201</w:t>
      </w:r>
      <w:r w:rsidR="009C66B9" w:rsidRPr="00AE70E3">
        <w:t>3</w:t>
      </w:r>
      <w:r w:rsidR="00815F66" w:rsidRPr="00AE70E3">
        <w:t xml:space="preserve"> are as </w:t>
      </w:r>
      <w:r w:rsidR="00746EB5" w:rsidRPr="00AE70E3">
        <w:t>follows</w:t>
      </w:r>
      <w:r w:rsidR="00476E94" w:rsidRPr="00AE70E3">
        <w:t>:</w:t>
      </w:r>
    </w:p>
    <w:tbl>
      <w:tblPr>
        <w:tblStyle w:val="TableGrid"/>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tblPr>
      <w:tblGrid>
        <w:gridCol w:w="4582"/>
        <w:gridCol w:w="1088"/>
      </w:tblGrid>
      <w:tr w:rsidR="00AE70E3" w:rsidRPr="00AE70E3" w:rsidTr="00562F9C">
        <w:tc>
          <w:tcPr>
            <w:tcW w:w="4514" w:type="dxa"/>
          </w:tcPr>
          <w:p w:rsidR="00AE70E3" w:rsidRPr="00AE70E3" w:rsidRDefault="00AE70E3" w:rsidP="00704CC0">
            <w:pPr>
              <w:pStyle w:val="Normal2-Para"/>
              <w:keepNext/>
              <w:keepLines/>
              <w:spacing w:before="0" w:line="240" w:lineRule="auto"/>
              <w:ind w:left="1134"/>
              <w:rPr>
                <w:sz w:val="18"/>
                <w:szCs w:val="18"/>
              </w:rPr>
            </w:pPr>
            <w:r w:rsidRPr="00AE70E3">
              <w:rPr>
                <w:rFonts w:cs="Arial"/>
                <w:sz w:val="18"/>
                <w:szCs w:val="18"/>
              </w:rPr>
              <w:t>Weighted average cost of capital</w:t>
            </w:r>
          </w:p>
        </w:tc>
        <w:tc>
          <w:tcPr>
            <w:tcW w:w="1072" w:type="dxa"/>
          </w:tcPr>
          <w:p w:rsidR="00AE70E3" w:rsidRPr="00AE70E3" w:rsidRDefault="00AE70E3" w:rsidP="00704CC0">
            <w:pPr>
              <w:pStyle w:val="Normal2-Para"/>
              <w:keepNext/>
              <w:keepLines/>
              <w:spacing w:before="0" w:line="240" w:lineRule="auto"/>
              <w:jc w:val="right"/>
              <w:rPr>
                <w:sz w:val="18"/>
                <w:szCs w:val="18"/>
              </w:rPr>
            </w:pPr>
            <w:r w:rsidRPr="00AE70E3">
              <w:rPr>
                <w:rFonts w:cs="Arial"/>
                <w:sz w:val="18"/>
                <w:szCs w:val="18"/>
              </w:rPr>
              <w:t>14.20%</w:t>
            </w:r>
          </w:p>
        </w:tc>
      </w:tr>
      <w:tr w:rsidR="00AE70E3" w:rsidRPr="00AE70E3" w:rsidTr="00562F9C">
        <w:tc>
          <w:tcPr>
            <w:tcW w:w="4514" w:type="dxa"/>
          </w:tcPr>
          <w:p w:rsidR="00AE70E3" w:rsidRPr="00AE70E3" w:rsidRDefault="00AE70E3" w:rsidP="00704CC0">
            <w:pPr>
              <w:pStyle w:val="Normal2-Para"/>
              <w:spacing w:before="0" w:line="240" w:lineRule="auto"/>
              <w:ind w:left="1134"/>
              <w:rPr>
                <w:sz w:val="18"/>
                <w:szCs w:val="18"/>
              </w:rPr>
            </w:pPr>
            <w:r w:rsidRPr="00AE70E3">
              <w:rPr>
                <w:rFonts w:cs="Arial"/>
                <w:sz w:val="18"/>
                <w:szCs w:val="18"/>
              </w:rPr>
              <w:t>Long term growth rate</w:t>
            </w:r>
          </w:p>
        </w:tc>
        <w:tc>
          <w:tcPr>
            <w:tcW w:w="1072" w:type="dxa"/>
          </w:tcPr>
          <w:p w:rsidR="00AE70E3" w:rsidRPr="00AE70E3" w:rsidRDefault="00AE70E3" w:rsidP="00704CC0">
            <w:pPr>
              <w:pStyle w:val="Normal2-Para"/>
              <w:spacing w:before="0" w:line="240" w:lineRule="auto"/>
              <w:jc w:val="right"/>
              <w:rPr>
                <w:sz w:val="18"/>
                <w:szCs w:val="18"/>
              </w:rPr>
            </w:pPr>
            <w:r w:rsidRPr="00AE70E3">
              <w:rPr>
                <w:rFonts w:cs="Arial"/>
                <w:sz w:val="18"/>
                <w:szCs w:val="18"/>
              </w:rPr>
              <w:t>7.00%</w:t>
            </w:r>
          </w:p>
        </w:tc>
      </w:tr>
    </w:tbl>
    <w:p w:rsidR="00B11CF1" w:rsidRPr="00A76890" w:rsidRDefault="0092140F" w:rsidP="00704CC0">
      <w:pPr>
        <w:pStyle w:val="Normal3-Sub-para"/>
        <w:numPr>
          <w:ilvl w:val="0"/>
          <w:numId w:val="17"/>
        </w:numPr>
        <w:spacing w:after="60" w:line="240" w:lineRule="auto"/>
        <w:ind w:left="1134" w:hanging="567"/>
      </w:pPr>
      <w:r w:rsidRPr="00A76890">
        <w:t>Air Works- As of 31 August 201</w:t>
      </w:r>
      <w:r w:rsidR="00C15B8C" w:rsidRPr="00A76890">
        <w:t>3</w:t>
      </w:r>
      <w:r w:rsidRPr="00A76890">
        <w:t>, the Group h</w:t>
      </w:r>
      <w:r w:rsidR="00D665B8" w:rsidRPr="00A76890">
        <w:t>eld</w:t>
      </w:r>
      <w:r w:rsidRPr="00A76890">
        <w:t xml:space="preserve"> an aggregate </w:t>
      </w:r>
      <w:r w:rsidR="00B17AC7" w:rsidRPr="00A76890">
        <w:t>4</w:t>
      </w:r>
      <w:r w:rsidRPr="00A76890">
        <w:t>.</w:t>
      </w:r>
      <w:r w:rsidR="00B17AC7" w:rsidRPr="00A76890">
        <w:t>45</w:t>
      </w:r>
      <w:r w:rsidRPr="00A76890">
        <w:t xml:space="preserve">% (fully diluted basis) stake in Air Works </w:t>
      </w:r>
      <w:r w:rsidR="00E72FD6" w:rsidRPr="00A76890">
        <w:t xml:space="preserve">India </w:t>
      </w:r>
      <w:r w:rsidR="002B377F" w:rsidRPr="00A76890">
        <w:t>(</w:t>
      </w:r>
      <w:r w:rsidR="00E72FD6" w:rsidRPr="00A76890">
        <w:t>Engineering</w:t>
      </w:r>
      <w:r w:rsidR="002B377F" w:rsidRPr="00A76890">
        <w:t>)</w:t>
      </w:r>
      <w:r w:rsidR="00E72FD6" w:rsidRPr="00A76890">
        <w:t xml:space="preserve"> P</w:t>
      </w:r>
      <w:r w:rsidR="002B377F" w:rsidRPr="00A76890">
        <w:t xml:space="preserve">rivate </w:t>
      </w:r>
      <w:r w:rsidR="00E72FD6" w:rsidRPr="00A76890">
        <w:t xml:space="preserve">Ltd. </w:t>
      </w:r>
      <w:r w:rsidRPr="00A76890">
        <w:t xml:space="preserve">at a total cost of GBP </w:t>
      </w:r>
      <w:r w:rsidR="008A024B" w:rsidRPr="00A76890">
        <w:t>2,922</w:t>
      </w:r>
      <w:r w:rsidRPr="00A76890">
        <w:t xml:space="preserve"> thousand. The investment has been valued on </w:t>
      </w:r>
      <w:r w:rsidR="00746EB5" w:rsidRPr="00A76890">
        <w:t xml:space="preserve">the </w:t>
      </w:r>
      <w:r w:rsidR="00476E94" w:rsidRPr="00A76890">
        <w:t>“</w:t>
      </w:r>
      <w:r w:rsidRPr="00A76890">
        <w:t xml:space="preserve">discounted cash flows of </w:t>
      </w:r>
      <w:r w:rsidR="00746EB5" w:rsidRPr="00A76890">
        <w:t xml:space="preserve">the </w:t>
      </w:r>
      <w:r w:rsidRPr="00A76890">
        <w:t xml:space="preserve">earnings of underlying </w:t>
      </w:r>
      <w:r w:rsidR="00487949" w:rsidRPr="00A76890">
        <w:t>business</w:t>
      </w:r>
      <w:r w:rsidR="00476E94" w:rsidRPr="00A76890">
        <w:t>”</w:t>
      </w:r>
      <w:r w:rsidRPr="00A76890">
        <w:t>.</w:t>
      </w:r>
      <w:r w:rsidR="00815F66" w:rsidRPr="00A76890">
        <w:t xml:space="preserve"> The key assumptions used in the valuation of the investment as at 31 August 201</w:t>
      </w:r>
      <w:r w:rsidR="00506DA4" w:rsidRPr="00A76890">
        <w:t>3</w:t>
      </w:r>
      <w:r w:rsidR="00815F66" w:rsidRPr="00A76890">
        <w:t xml:space="preserve"> are as under</w:t>
      </w:r>
      <w:r w:rsidR="00AE70E3">
        <w:t>:</w:t>
      </w:r>
    </w:p>
    <w:tbl>
      <w:tblPr>
        <w:tblStyle w:val="TableGrid"/>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tblPr>
      <w:tblGrid>
        <w:gridCol w:w="4582"/>
        <w:gridCol w:w="1088"/>
      </w:tblGrid>
      <w:tr w:rsidR="00AE70E3" w:rsidRPr="00AE70E3" w:rsidTr="00562F9C">
        <w:tc>
          <w:tcPr>
            <w:tcW w:w="4514" w:type="dxa"/>
          </w:tcPr>
          <w:p w:rsidR="00AE70E3" w:rsidRPr="00AE70E3" w:rsidRDefault="00AE70E3" w:rsidP="00704CC0">
            <w:pPr>
              <w:pStyle w:val="Normal2-Para"/>
              <w:keepNext/>
              <w:keepLines/>
              <w:spacing w:before="0" w:line="240" w:lineRule="auto"/>
              <w:ind w:left="1134"/>
              <w:rPr>
                <w:sz w:val="18"/>
                <w:szCs w:val="18"/>
              </w:rPr>
            </w:pPr>
            <w:r w:rsidRPr="00AE70E3">
              <w:rPr>
                <w:rFonts w:cs="Arial"/>
                <w:sz w:val="18"/>
                <w:szCs w:val="18"/>
              </w:rPr>
              <w:t>Weighted average cost of capital</w:t>
            </w:r>
          </w:p>
        </w:tc>
        <w:tc>
          <w:tcPr>
            <w:tcW w:w="1072" w:type="dxa"/>
          </w:tcPr>
          <w:p w:rsidR="00AE70E3" w:rsidRPr="00AE70E3" w:rsidRDefault="00AE70E3" w:rsidP="00704CC0">
            <w:pPr>
              <w:pStyle w:val="Normal2-Para"/>
              <w:keepNext/>
              <w:keepLines/>
              <w:spacing w:before="0" w:line="240" w:lineRule="auto"/>
              <w:jc w:val="right"/>
              <w:rPr>
                <w:sz w:val="18"/>
                <w:szCs w:val="18"/>
              </w:rPr>
            </w:pPr>
            <w:r>
              <w:rPr>
                <w:rFonts w:cs="Arial"/>
                <w:sz w:val="18"/>
                <w:szCs w:val="18"/>
              </w:rPr>
              <w:t>14.8</w:t>
            </w:r>
            <w:r w:rsidRPr="00AE70E3">
              <w:rPr>
                <w:rFonts w:cs="Arial"/>
                <w:sz w:val="18"/>
                <w:szCs w:val="18"/>
              </w:rPr>
              <w:t>0%</w:t>
            </w:r>
          </w:p>
        </w:tc>
      </w:tr>
      <w:tr w:rsidR="00AE70E3" w:rsidRPr="00AE70E3" w:rsidTr="00562F9C">
        <w:tc>
          <w:tcPr>
            <w:tcW w:w="4514" w:type="dxa"/>
          </w:tcPr>
          <w:p w:rsidR="00AE70E3" w:rsidRPr="00AE70E3" w:rsidRDefault="00AE70E3" w:rsidP="00704CC0">
            <w:pPr>
              <w:pStyle w:val="Normal2-Para"/>
              <w:spacing w:before="0" w:line="240" w:lineRule="auto"/>
              <w:ind w:left="1134"/>
              <w:rPr>
                <w:sz w:val="18"/>
                <w:szCs w:val="18"/>
              </w:rPr>
            </w:pPr>
            <w:r w:rsidRPr="00AE70E3">
              <w:rPr>
                <w:rFonts w:cs="Arial"/>
                <w:sz w:val="18"/>
                <w:szCs w:val="18"/>
              </w:rPr>
              <w:t>Long term growth rate</w:t>
            </w:r>
          </w:p>
        </w:tc>
        <w:tc>
          <w:tcPr>
            <w:tcW w:w="1072" w:type="dxa"/>
          </w:tcPr>
          <w:p w:rsidR="00AE70E3" w:rsidRPr="00AE70E3" w:rsidRDefault="00AE70E3" w:rsidP="00704CC0">
            <w:pPr>
              <w:pStyle w:val="Normal2-Para"/>
              <w:spacing w:before="0" w:line="240" w:lineRule="auto"/>
              <w:jc w:val="right"/>
              <w:rPr>
                <w:sz w:val="18"/>
                <w:szCs w:val="18"/>
              </w:rPr>
            </w:pPr>
            <w:r>
              <w:rPr>
                <w:rFonts w:cs="Arial"/>
                <w:sz w:val="18"/>
                <w:szCs w:val="18"/>
              </w:rPr>
              <w:t>5</w:t>
            </w:r>
            <w:r w:rsidRPr="00AE70E3">
              <w:rPr>
                <w:rFonts w:cs="Arial"/>
                <w:sz w:val="18"/>
                <w:szCs w:val="18"/>
              </w:rPr>
              <w:t>.00%</w:t>
            </w:r>
          </w:p>
        </w:tc>
      </w:tr>
    </w:tbl>
    <w:p w:rsidR="0092140F" w:rsidRPr="00A76890" w:rsidRDefault="0092140F" w:rsidP="00704CC0">
      <w:pPr>
        <w:pStyle w:val="Normal2-Para"/>
        <w:keepNext/>
        <w:keepLines/>
        <w:spacing w:after="60" w:line="240" w:lineRule="auto"/>
        <w:ind w:left="567"/>
      </w:pPr>
      <w:r w:rsidRPr="00A76890">
        <w:t xml:space="preserve">Details of the Group’s investments are as </w:t>
      </w:r>
      <w:r w:rsidR="00746EB5" w:rsidRPr="00A76890">
        <w:t>set out below</w:t>
      </w:r>
      <w:r w:rsidRPr="00A76890">
        <w:t>:</w:t>
      </w:r>
    </w:p>
    <w:tbl>
      <w:tblPr>
        <w:tblW w:w="8953" w:type="dxa"/>
        <w:tblLayout w:type="fixed"/>
        <w:tblCellMar>
          <w:top w:w="28" w:type="dxa"/>
          <w:left w:w="57" w:type="dxa"/>
          <w:bottom w:w="28" w:type="dxa"/>
          <w:right w:w="57" w:type="dxa"/>
        </w:tblCellMar>
        <w:tblLook w:val="04A0"/>
      </w:tblPr>
      <w:tblGrid>
        <w:gridCol w:w="3469"/>
        <w:gridCol w:w="914"/>
        <w:gridCol w:w="914"/>
        <w:gridCol w:w="915"/>
        <w:gridCol w:w="913"/>
        <w:gridCol w:w="913"/>
        <w:gridCol w:w="915"/>
      </w:tblGrid>
      <w:tr w:rsidR="006F7F73" w:rsidRPr="00A76890" w:rsidTr="00562F9C">
        <w:trPr>
          <w:trHeight w:val="20"/>
        </w:trPr>
        <w:tc>
          <w:tcPr>
            <w:tcW w:w="1937" w:type="pct"/>
            <w:tcBorders>
              <w:top w:val="nil"/>
              <w:left w:val="nil"/>
              <w:right w:val="nil"/>
            </w:tcBorders>
            <w:shd w:val="clear" w:color="auto" w:fill="auto"/>
            <w:vAlign w:val="bottom"/>
          </w:tcPr>
          <w:p w:rsidR="006F7F73" w:rsidRPr="00AE70E3" w:rsidRDefault="006F7F73" w:rsidP="00704CC0">
            <w:pPr>
              <w:keepNext/>
              <w:keepLines/>
              <w:tabs>
                <w:tab w:val="left" w:pos="567"/>
                <w:tab w:val="left" w:pos="1134"/>
                <w:tab w:val="left" w:pos="1701"/>
                <w:tab w:val="left" w:pos="2268"/>
              </w:tabs>
              <w:ind w:left="567"/>
              <w:rPr>
                <w:rFonts w:cs="Arial"/>
                <w:b/>
                <w:bCs/>
                <w:color w:val="000000"/>
                <w:sz w:val="18"/>
                <w:szCs w:val="18"/>
              </w:rPr>
            </w:pPr>
          </w:p>
        </w:tc>
        <w:tc>
          <w:tcPr>
            <w:tcW w:w="1531" w:type="pct"/>
            <w:gridSpan w:val="3"/>
            <w:tcBorders>
              <w:top w:val="nil"/>
              <w:left w:val="nil"/>
              <w:right w:val="nil"/>
            </w:tcBorders>
            <w:shd w:val="clear" w:color="auto" w:fill="auto"/>
            <w:vAlign w:val="bottom"/>
          </w:tcPr>
          <w:p w:rsidR="006F7F73" w:rsidRPr="00AE70E3" w:rsidRDefault="006F7F73" w:rsidP="00704CC0">
            <w:pPr>
              <w:keepNext/>
              <w:keepLines/>
              <w:tabs>
                <w:tab w:val="left" w:pos="567"/>
                <w:tab w:val="left" w:pos="1134"/>
                <w:tab w:val="left" w:pos="1701"/>
                <w:tab w:val="left" w:pos="2268"/>
              </w:tabs>
              <w:jc w:val="center"/>
              <w:rPr>
                <w:rFonts w:cs="Arial"/>
                <w:b/>
                <w:bCs/>
                <w:color w:val="000000"/>
                <w:sz w:val="18"/>
                <w:szCs w:val="18"/>
              </w:rPr>
            </w:pPr>
            <w:r>
              <w:rPr>
                <w:rFonts w:cs="Arial"/>
                <w:b/>
                <w:bCs/>
                <w:color w:val="000000"/>
                <w:sz w:val="18"/>
                <w:szCs w:val="18"/>
              </w:rPr>
              <w:t>2013</w:t>
            </w:r>
          </w:p>
        </w:tc>
        <w:tc>
          <w:tcPr>
            <w:tcW w:w="1531" w:type="pct"/>
            <w:gridSpan w:val="3"/>
            <w:tcBorders>
              <w:top w:val="nil"/>
              <w:left w:val="nil"/>
              <w:right w:val="nil"/>
            </w:tcBorders>
            <w:shd w:val="clear" w:color="auto" w:fill="auto"/>
            <w:vAlign w:val="bottom"/>
          </w:tcPr>
          <w:p w:rsidR="006F7F73" w:rsidRPr="00AE70E3" w:rsidRDefault="006F7F73" w:rsidP="00704CC0">
            <w:pPr>
              <w:keepNext/>
              <w:keepLines/>
              <w:tabs>
                <w:tab w:val="left" w:pos="567"/>
                <w:tab w:val="left" w:pos="1134"/>
                <w:tab w:val="left" w:pos="1701"/>
                <w:tab w:val="left" w:pos="2268"/>
              </w:tabs>
              <w:jc w:val="center"/>
              <w:rPr>
                <w:rFonts w:cs="Arial"/>
                <w:bCs/>
                <w:color w:val="000000"/>
                <w:sz w:val="18"/>
                <w:szCs w:val="18"/>
              </w:rPr>
            </w:pPr>
            <w:r>
              <w:rPr>
                <w:rFonts w:cs="Arial"/>
                <w:bCs/>
                <w:color w:val="000000"/>
                <w:sz w:val="18"/>
                <w:szCs w:val="18"/>
              </w:rPr>
              <w:t>2012</w:t>
            </w:r>
          </w:p>
        </w:tc>
      </w:tr>
      <w:tr w:rsidR="0092140F" w:rsidRPr="00A76890" w:rsidTr="00562F9C">
        <w:trPr>
          <w:trHeight w:val="20"/>
        </w:trPr>
        <w:tc>
          <w:tcPr>
            <w:tcW w:w="1937" w:type="pct"/>
            <w:tcBorders>
              <w:left w:val="nil"/>
              <w:bottom w:val="nil"/>
              <w:right w:val="nil"/>
            </w:tcBorders>
            <w:shd w:val="clear" w:color="auto" w:fill="auto"/>
            <w:vAlign w:val="bottom"/>
            <w:hideMark/>
          </w:tcPr>
          <w:p w:rsidR="0092140F" w:rsidRPr="00AE70E3" w:rsidRDefault="0092140F" w:rsidP="00704CC0">
            <w:pPr>
              <w:keepNext/>
              <w:keepLines/>
              <w:tabs>
                <w:tab w:val="left" w:pos="567"/>
                <w:tab w:val="left" w:pos="1134"/>
                <w:tab w:val="left" w:pos="1701"/>
                <w:tab w:val="left" w:pos="2268"/>
              </w:tabs>
              <w:ind w:left="567"/>
              <w:rPr>
                <w:rFonts w:cs="Arial"/>
                <w:b/>
                <w:bCs/>
                <w:color w:val="000000"/>
                <w:sz w:val="18"/>
                <w:szCs w:val="18"/>
              </w:rPr>
            </w:pPr>
            <w:r w:rsidRPr="00AE70E3">
              <w:rPr>
                <w:rFonts w:cs="Arial"/>
                <w:b/>
                <w:bCs/>
                <w:color w:val="000000"/>
                <w:sz w:val="18"/>
                <w:szCs w:val="18"/>
              </w:rPr>
              <w:t>Listed investments</w:t>
            </w:r>
          </w:p>
        </w:tc>
        <w:tc>
          <w:tcPr>
            <w:tcW w:w="510" w:type="pct"/>
            <w:tcBorders>
              <w:left w:val="nil"/>
              <w:bottom w:val="single" w:sz="4" w:space="0" w:color="auto"/>
              <w:right w:val="nil"/>
            </w:tcBorders>
            <w:shd w:val="clear" w:color="auto" w:fill="auto"/>
            <w:vAlign w:val="bottom"/>
            <w:hideMark/>
          </w:tcPr>
          <w:p w:rsidR="0092140F" w:rsidRPr="00AE70E3" w:rsidRDefault="0092140F" w:rsidP="00704CC0">
            <w:pPr>
              <w:keepNext/>
              <w:keepLines/>
              <w:tabs>
                <w:tab w:val="left" w:pos="567"/>
                <w:tab w:val="left" w:pos="1134"/>
                <w:tab w:val="left" w:pos="1701"/>
                <w:tab w:val="left" w:pos="2268"/>
              </w:tabs>
              <w:jc w:val="right"/>
              <w:rPr>
                <w:rFonts w:cs="Arial"/>
                <w:b/>
                <w:bCs/>
                <w:color w:val="000000"/>
                <w:sz w:val="18"/>
                <w:szCs w:val="18"/>
              </w:rPr>
            </w:pPr>
            <w:r w:rsidRPr="00AE70E3">
              <w:rPr>
                <w:rFonts w:cs="Arial"/>
                <w:b/>
                <w:bCs/>
                <w:color w:val="000000"/>
                <w:sz w:val="18"/>
                <w:szCs w:val="18"/>
              </w:rPr>
              <w:t>Non-current</w:t>
            </w:r>
          </w:p>
        </w:tc>
        <w:tc>
          <w:tcPr>
            <w:tcW w:w="510" w:type="pct"/>
            <w:tcBorders>
              <w:left w:val="nil"/>
              <w:bottom w:val="single" w:sz="4" w:space="0" w:color="auto"/>
              <w:right w:val="nil"/>
            </w:tcBorders>
            <w:shd w:val="clear" w:color="auto" w:fill="auto"/>
            <w:vAlign w:val="bottom"/>
            <w:hideMark/>
          </w:tcPr>
          <w:p w:rsidR="0092140F" w:rsidRPr="00AE70E3" w:rsidRDefault="0092140F" w:rsidP="00704CC0">
            <w:pPr>
              <w:keepNext/>
              <w:keepLines/>
              <w:tabs>
                <w:tab w:val="left" w:pos="567"/>
                <w:tab w:val="left" w:pos="1134"/>
                <w:tab w:val="left" w:pos="1701"/>
                <w:tab w:val="left" w:pos="2268"/>
              </w:tabs>
              <w:jc w:val="right"/>
              <w:rPr>
                <w:rFonts w:cs="Arial"/>
                <w:b/>
                <w:bCs/>
                <w:color w:val="000000"/>
                <w:sz w:val="18"/>
                <w:szCs w:val="18"/>
              </w:rPr>
            </w:pPr>
            <w:r w:rsidRPr="00AE70E3">
              <w:rPr>
                <w:rFonts w:cs="Arial"/>
                <w:b/>
                <w:bCs/>
                <w:color w:val="000000"/>
                <w:sz w:val="18"/>
                <w:szCs w:val="18"/>
              </w:rPr>
              <w:t>Current</w:t>
            </w:r>
          </w:p>
        </w:tc>
        <w:tc>
          <w:tcPr>
            <w:tcW w:w="511" w:type="pct"/>
            <w:tcBorders>
              <w:left w:val="nil"/>
              <w:bottom w:val="single" w:sz="4" w:space="0" w:color="auto"/>
              <w:right w:val="nil"/>
            </w:tcBorders>
            <w:shd w:val="clear" w:color="auto" w:fill="auto"/>
            <w:vAlign w:val="bottom"/>
            <w:hideMark/>
          </w:tcPr>
          <w:p w:rsidR="0092140F" w:rsidRPr="00AE70E3" w:rsidRDefault="0092140F" w:rsidP="00704CC0">
            <w:pPr>
              <w:keepNext/>
              <w:keepLines/>
              <w:tabs>
                <w:tab w:val="left" w:pos="567"/>
                <w:tab w:val="left" w:pos="1134"/>
                <w:tab w:val="left" w:pos="1701"/>
                <w:tab w:val="left" w:pos="2268"/>
              </w:tabs>
              <w:jc w:val="right"/>
              <w:rPr>
                <w:rFonts w:cs="Arial"/>
                <w:b/>
                <w:bCs/>
                <w:color w:val="000000"/>
                <w:sz w:val="18"/>
                <w:szCs w:val="18"/>
              </w:rPr>
            </w:pPr>
            <w:r w:rsidRPr="00AE70E3">
              <w:rPr>
                <w:rFonts w:cs="Arial"/>
                <w:b/>
                <w:bCs/>
                <w:color w:val="000000"/>
                <w:sz w:val="18"/>
                <w:szCs w:val="18"/>
              </w:rPr>
              <w:t>Total</w:t>
            </w:r>
          </w:p>
        </w:tc>
        <w:tc>
          <w:tcPr>
            <w:tcW w:w="510" w:type="pct"/>
            <w:tcBorders>
              <w:left w:val="nil"/>
              <w:bottom w:val="single" w:sz="4" w:space="0" w:color="auto"/>
              <w:right w:val="nil"/>
            </w:tcBorders>
            <w:shd w:val="clear" w:color="auto" w:fill="auto"/>
            <w:vAlign w:val="bottom"/>
            <w:hideMark/>
          </w:tcPr>
          <w:p w:rsidR="0092140F" w:rsidRPr="00AE70E3" w:rsidRDefault="0092140F" w:rsidP="00704CC0">
            <w:pPr>
              <w:keepNext/>
              <w:keepLines/>
              <w:tabs>
                <w:tab w:val="left" w:pos="567"/>
                <w:tab w:val="left" w:pos="1134"/>
                <w:tab w:val="left" w:pos="1701"/>
                <w:tab w:val="left" w:pos="2268"/>
              </w:tabs>
              <w:jc w:val="right"/>
              <w:rPr>
                <w:rFonts w:cs="Arial"/>
                <w:bCs/>
                <w:color w:val="000000"/>
                <w:sz w:val="18"/>
                <w:szCs w:val="18"/>
              </w:rPr>
            </w:pPr>
            <w:r w:rsidRPr="00AE70E3">
              <w:rPr>
                <w:rFonts w:cs="Arial"/>
                <w:bCs/>
                <w:color w:val="000000"/>
                <w:sz w:val="18"/>
                <w:szCs w:val="18"/>
              </w:rPr>
              <w:t>Non-current</w:t>
            </w:r>
          </w:p>
        </w:tc>
        <w:tc>
          <w:tcPr>
            <w:tcW w:w="510" w:type="pct"/>
            <w:tcBorders>
              <w:left w:val="nil"/>
              <w:bottom w:val="single" w:sz="4" w:space="0" w:color="auto"/>
              <w:right w:val="nil"/>
            </w:tcBorders>
            <w:shd w:val="clear" w:color="auto" w:fill="auto"/>
            <w:vAlign w:val="bottom"/>
            <w:hideMark/>
          </w:tcPr>
          <w:p w:rsidR="0092140F" w:rsidRPr="00AE70E3" w:rsidRDefault="0092140F" w:rsidP="00704CC0">
            <w:pPr>
              <w:keepNext/>
              <w:keepLines/>
              <w:tabs>
                <w:tab w:val="left" w:pos="567"/>
                <w:tab w:val="left" w:pos="1134"/>
                <w:tab w:val="left" w:pos="1701"/>
                <w:tab w:val="left" w:pos="2268"/>
              </w:tabs>
              <w:jc w:val="right"/>
              <w:rPr>
                <w:rFonts w:cs="Arial"/>
                <w:bCs/>
                <w:color w:val="000000"/>
                <w:sz w:val="18"/>
                <w:szCs w:val="18"/>
              </w:rPr>
            </w:pPr>
            <w:r w:rsidRPr="00AE70E3">
              <w:rPr>
                <w:rFonts w:cs="Arial"/>
                <w:bCs/>
                <w:color w:val="000000"/>
                <w:sz w:val="18"/>
                <w:szCs w:val="18"/>
              </w:rPr>
              <w:t>Current</w:t>
            </w:r>
          </w:p>
        </w:tc>
        <w:tc>
          <w:tcPr>
            <w:tcW w:w="511" w:type="pct"/>
            <w:tcBorders>
              <w:left w:val="nil"/>
              <w:bottom w:val="single" w:sz="4" w:space="0" w:color="auto"/>
              <w:right w:val="nil"/>
            </w:tcBorders>
            <w:shd w:val="clear" w:color="auto" w:fill="auto"/>
            <w:vAlign w:val="bottom"/>
            <w:hideMark/>
          </w:tcPr>
          <w:p w:rsidR="0092140F" w:rsidRPr="00AE70E3" w:rsidRDefault="0092140F" w:rsidP="00704CC0">
            <w:pPr>
              <w:keepNext/>
              <w:keepLines/>
              <w:tabs>
                <w:tab w:val="left" w:pos="567"/>
                <w:tab w:val="left" w:pos="1134"/>
                <w:tab w:val="left" w:pos="1701"/>
                <w:tab w:val="left" w:pos="2268"/>
              </w:tabs>
              <w:jc w:val="right"/>
              <w:rPr>
                <w:rFonts w:cs="Arial"/>
                <w:bCs/>
                <w:color w:val="000000"/>
                <w:sz w:val="18"/>
                <w:szCs w:val="18"/>
              </w:rPr>
            </w:pPr>
            <w:r w:rsidRPr="00AE70E3">
              <w:rPr>
                <w:rFonts w:cs="Arial"/>
                <w:bCs/>
                <w:color w:val="000000"/>
                <w:sz w:val="18"/>
                <w:szCs w:val="18"/>
              </w:rPr>
              <w:t>Total</w:t>
            </w:r>
          </w:p>
        </w:tc>
      </w:tr>
      <w:tr w:rsidR="00E07EFA" w:rsidRPr="00A76890" w:rsidTr="00562F9C">
        <w:trPr>
          <w:trHeight w:val="20"/>
        </w:trPr>
        <w:tc>
          <w:tcPr>
            <w:tcW w:w="1937" w:type="pct"/>
            <w:tcBorders>
              <w:top w:val="nil"/>
              <w:left w:val="nil"/>
              <w:bottom w:val="nil"/>
              <w:right w:val="nil"/>
            </w:tcBorders>
            <w:shd w:val="clear" w:color="auto" w:fill="auto"/>
            <w:vAlign w:val="center"/>
            <w:hideMark/>
          </w:tcPr>
          <w:p w:rsidR="00E07EFA" w:rsidRPr="00AE70E3" w:rsidRDefault="00E07EFA" w:rsidP="00704CC0">
            <w:pPr>
              <w:keepNext/>
              <w:keepLines/>
              <w:tabs>
                <w:tab w:val="left" w:pos="567"/>
                <w:tab w:val="left" w:pos="1134"/>
                <w:tab w:val="left" w:pos="1701"/>
                <w:tab w:val="left" w:pos="2268"/>
              </w:tabs>
              <w:ind w:left="567"/>
              <w:rPr>
                <w:rFonts w:cs="Arial"/>
                <w:b/>
                <w:bCs/>
                <w:color w:val="000000"/>
                <w:sz w:val="18"/>
                <w:szCs w:val="18"/>
              </w:rPr>
            </w:pPr>
          </w:p>
        </w:tc>
        <w:tc>
          <w:tcPr>
            <w:tcW w:w="510" w:type="pct"/>
            <w:tcBorders>
              <w:top w:val="single" w:sz="4" w:space="0" w:color="auto"/>
              <w:left w:val="nil"/>
              <w:bottom w:val="nil"/>
              <w:right w:val="nil"/>
            </w:tcBorders>
            <w:shd w:val="clear" w:color="auto" w:fill="auto"/>
            <w:vAlign w:val="bottom"/>
            <w:hideMark/>
          </w:tcPr>
          <w:p w:rsidR="00E07EFA" w:rsidRPr="00AE70E3" w:rsidRDefault="00E07EFA" w:rsidP="00704CC0">
            <w:pPr>
              <w:keepNext/>
              <w:keepLines/>
              <w:tabs>
                <w:tab w:val="left" w:pos="567"/>
                <w:tab w:val="left" w:pos="1134"/>
                <w:tab w:val="left" w:pos="1701"/>
                <w:tab w:val="left" w:pos="2268"/>
              </w:tabs>
              <w:jc w:val="right"/>
              <w:rPr>
                <w:rFonts w:cs="Arial"/>
                <w:b/>
                <w:bCs/>
                <w:color w:val="000000"/>
                <w:sz w:val="18"/>
                <w:szCs w:val="18"/>
              </w:rPr>
            </w:pPr>
            <w:r w:rsidRPr="00AE70E3">
              <w:rPr>
                <w:rFonts w:cs="Arial"/>
                <w:b/>
                <w:bCs/>
                <w:sz w:val="18"/>
                <w:szCs w:val="18"/>
              </w:rPr>
              <w:t>£'000</w:t>
            </w:r>
          </w:p>
        </w:tc>
        <w:tc>
          <w:tcPr>
            <w:tcW w:w="510" w:type="pct"/>
            <w:tcBorders>
              <w:top w:val="single" w:sz="4" w:space="0" w:color="auto"/>
              <w:left w:val="nil"/>
              <w:bottom w:val="nil"/>
              <w:right w:val="nil"/>
            </w:tcBorders>
            <w:shd w:val="clear" w:color="auto" w:fill="auto"/>
            <w:vAlign w:val="bottom"/>
            <w:hideMark/>
          </w:tcPr>
          <w:p w:rsidR="00E07EFA" w:rsidRPr="00AE70E3" w:rsidRDefault="00E07EFA" w:rsidP="00704CC0">
            <w:pPr>
              <w:keepNext/>
              <w:keepLines/>
              <w:tabs>
                <w:tab w:val="left" w:pos="567"/>
                <w:tab w:val="left" w:pos="1134"/>
                <w:tab w:val="left" w:pos="1701"/>
                <w:tab w:val="left" w:pos="2268"/>
              </w:tabs>
              <w:jc w:val="right"/>
              <w:rPr>
                <w:rFonts w:cs="Arial"/>
                <w:b/>
                <w:bCs/>
                <w:color w:val="000000"/>
                <w:sz w:val="18"/>
                <w:szCs w:val="18"/>
              </w:rPr>
            </w:pPr>
            <w:r w:rsidRPr="00AE70E3">
              <w:rPr>
                <w:rFonts w:cs="Arial"/>
                <w:b/>
                <w:bCs/>
                <w:sz w:val="18"/>
                <w:szCs w:val="18"/>
              </w:rPr>
              <w:t>£'000</w:t>
            </w:r>
          </w:p>
        </w:tc>
        <w:tc>
          <w:tcPr>
            <w:tcW w:w="511" w:type="pct"/>
            <w:tcBorders>
              <w:top w:val="single" w:sz="4" w:space="0" w:color="auto"/>
              <w:left w:val="nil"/>
              <w:bottom w:val="nil"/>
              <w:right w:val="nil"/>
            </w:tcBorders>
            <w:shd w:val="clear" w:color="auto" w:fill="auto"/>
            <w:vAlign w:val="bottom"/>
            <w:hideMark/>
          </w:tcPr>
          <w:p w:rsidR="00E07EFA" w:rsidRPr="00AE70E3" w:rsidRDefault="00E07EFA" w:rsidP="00704CC0">
            <w:pPr>
              <w:keepNext/>
              <w:keepLines/>
              <w:tabs>
                <w:tab w:val="left" w:pos="567"/>
                <w:tab w:val="left" w:pos="1134"/>
                <w:tab w:val="left" w:pos="1701"/>
                <w:tab w:val="left" w:pos="2268"/>
              </w:tabs>
              <w:jc w:val="right"/>
              <w:rPr>
                <w:rFonts w:cs="Arial"/>
                <w:b/>
                <w:bCs/>
                <w:color w:val="000000"/>
                <w:sz w:val="18"/>
                <w:szCs w:val="18"/>
              </w:rPr>
            </w:pPr>
            <w:r w:rsidRPr="00AE70E3">
              <w:rPr>
                <w:rFonts w:cs="Arial"/>
                <w:b/>
                <w:bCs/>
                <w:sz w:val="18"/>
                <w:szCs w:val="18"/>
              </w:rPr>
              <w:t>£'000</w:t>
            </w:r>
          </w:p>
        </w:tc>
        <w:tc>
          <w:tcPr>
            <w:tcW w:w="510" w:type="pct"/>
            <w:tcBorders>
              <w:top w:val="single" w:sz="4" w:space="0" w:color="auto"/>
              <w:left w:val="nil"/>
              <w:bottom w:val="nil"/>
              <w:right w:val="nil"/>
            </w:tcBorders>
            <w:shd w:val="clear" w:color="auto" w:fill="auto"/>
            <w:vAlign w:val="bottom"/>
            <w:hideMark/>
          </w:tcPr>
          <w:p w:rsidR="00E07EFA" w:rsidRPr="00AE70E3" w:rsidRDefault="00E07EFA" w:rsidP="00704CC0">
            <w:pPr>
              <w:keepNext/>
              <w:keepLines/>
              <w:tabs>
                <w:tab w:val="left" w:pos="567"/>
                <w:tab w:val="left" w:pos="1134"/>
                <w:tab w:val="left" w:pos="1701"/>
                <w:tab w:val="left" w:pos="2268"/>
              </w:tabs>
              <w:jc w:val="right"/>
              <w:rPr>
                <w:rFonts w:cs="Arial"/>
                <w:bCs/>
                <w:color w:val="000000"/>
                <w:sz w:val="18"/>
                <w:szCs w:val="18"/>
              </w:rPr>
            </w:pPr>
            <w:r w:rsidRPr="00AE70E3">
              <w:rPr>
                <w:rFonts w:cs="Arial"/>
                <w:bCs/>
                <w:sz w:val="18"/>
                <w:szCs w:val="18"/>
              </w:rPr>
              <w:t>£'000</w:t>
            </w:r>
          </w:p>
        </w:tc>
        <w:tc>
          <w:tcPr>
            <w:tcW w:w="510" w:type="pct"/>
            <w:tcBorders>
              <w:top w:val="single" w:sz="4" w:space="0" w:color="auto"/>
              <w:left w:val="nil"/>
              <w:bottom w:val="nil"/>
              <w:right w:val="nil"/>
            </w:tcBorders>
            <w:shd w:val="clear" w:color="auto" w:fill="auto"/>
            <w:vAlign w:val="bottom"/>
            <w:hideMark/>
          </w:tcPr>
          <w:p w:rsidR="00E07EFA" w:rsidRPr="00AE70E3" w:rsidRDefault="00E07EFA" w:rsidP="00704CC0">
            <w:pPr>
              <w:keepNext/>
              <w:keepLines/>
              <w:tabs>
                <w:tab w:val="left" w:pos="567"/>
                <w:tab w:val="left" w:pos="1134"/>
                <w:tab w:val="left" w:pos="1701"/>
                <w:tab w:val="left" w:pos="2268"/>
              </w:tabs>
              <w:jc w:val="right"/>
              <w:rPr>
                <w:rFonts w:cs="Arial"/>
                <w:bCs/>
                <w:color w:val="000000"/>
                <w:sz w:val="18"/>
                <w:szCs w:val="18"/>
              </w:rPr>
            </w:pPr>
            <w:r w:rsidRPr="00AE70E3">
              <w:rPr>
                <w:rFonts w:cs="Arial"/>
                <w:bCs/>
                <w:sz w:val="18"/>
                <w:szCs w:val="18"/>
              </w:rPr>
              <w:t>£'000</w:t>
            </w:r>
          </w:p>
        </w:tc>
        <w:tc>
          <w:tcPr>
            <w:tcW w:w="511" w:type="pct"/>
            <w:tcBorders>
              <w:top w:val="single" w:sz="4" w:space="0" w:color="auto"/>
              <w:left w:val="nil"/>
              <w:bottom w:val="nil"/>
              <w:right w:val="nil"/>
            </w:tcBorders>
            <w:shd w:val="clear" w:color="auto" w:fill="auto"/>
            <w:vAlign w:val="bottom"/>
            <w:hideMark/>
          </w:tcPr>
          <w:p w:rsidR="00E07EFA" w:rsidRPr="00AE70E3" w:rsidRDefault="00E07EFA" w:rsidP="00704CC0">
            <w:pPr>
              <w:keepNext/>
              <w:keepLines/>
              <w:tabs>
                <w:tab w:val="left" w:pos="567"/>
                <w:tab w:val="left" w:pos="1134"/>
                <w:tab w:val="left" w:pos="1701"/>
                <w:tab w:val="left" w:pos="2268"/>
              </w:tabs>
              <w:ind w:left="487"/>
              <w:jc w:val="right"/>
              <w:rPr>
                <w:rFonts w:cs="Arial"/>
                <w:bCs/>
                <w:color w:val="000000"/>
                <w:sz w:val="18"/>
                <w:szCs w:val="18"/>
              </w:rPr>
            </w:pPr>
            <w:r w:rsidRPr="00AE70E3">
              <w:rPr>
                <w:rFonts w:cs="Arial"/>
                <w:bCs/>
                <w:sz w:val="18"/>
                <w:szCs w:val="18"/>
              </w:rPr>
              <w:t>£'000</w:t>
            </w:r>
          </w:p>
        </w:tc>
      </w:tr>
      <w:tr w:rsidR="00BB4730" w:rsidRPr="00A76890" w:rsidTr="00562F9C">
        <w:trPr>
          <w:trHeight w:val="20"/>
        </w:trPr>
        <w:tc>
          <w:tcPr>
            <w:tcW w:w="1937" w:type="pct"/>
            <w:tcBorders>
              <w:top w:val="nil"/>
              <w:left w:val="nil"/>
              <w:bottom w:val="nil"/>
              <w:right w:val="nil"/>
            </w:tcBorders>
            <w:shd w:val="clear" w:color="auto" w:fill="auto"/>
            <w:vAlign w:val="center"/>
            <w:hideMark/>
          </w:tcPr>
          <w:p w:rsidR="00BB4730" w:rsidRPr="00AE70E3" w:rsidRDefault="00BB4730" w:rsidP="00704CC0">
            <w:pPr>
              <w:keepNext/>
              <w:keepLines/>
              <w:tabs>
                <w:tab w:val="left" w:pos="567"/>
                <w:tab w:val="left" w:pos="1134"/>
                <w:tab w:val="left" w:pos="1701"/>
                <w:tab w:val="left" w:pos="2268"/>
              </w:tabs>
              <w:ind w:left="567"/>
              <w:rPr>
                <w:rFonts w:cs="Arial"/>
                <w:color w:val="000000"/>
                <w:sz w:val="18"/>
                <w:szCs w:val="18"/>
              </w:rPr>
            </w:pPr>
            <w:r w:rsidRPr="00AE70E3">
              <w:rPr>
                <w:rFonts w:cs="Arial"/>
                <w:color w:val="000000"/>
                <w:sz w:val="18"/>
                <w:szCs w:val="18"/>
              </w:rPr>
              <w:t>Balance brought forward</w:t>
            </w:r>
          </w:p>
        </w:tc>
        <w:tc>
          <w:tcPr>
            <w:tcW w:w="510" w:type="pct"/>
            <w:tcBorders>
              <w:top w:val="nil"/>
              <w:left w:val="nil"/>
              <w:bottom w:val="nil"/>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w:t>
            </w:r>
          </w:p>
        </w:tc>
        <w:tc>
          <w:tcPr>
            <w:tcW w:w="510" w:type="pct"/>
            <w:tcBorders>
              <w:top w:val="nil"/>
              <w:left w:val="nil"/>
              <w:bottom w:val="nil"/>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7,080</w:t>
            </w:r>
          </w:p>
        </w:tc>
        <w:tc>
          <w:tcPr>
            <w:tcW w:w="511" w:type="pct"/>
            <w:tcBorders>
              <w:top w:val="nil"/>
              <w:left w:val="nil"/>
              <w:bottom w:val="nil"/>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7,080</w:t>
            </w:r>
          </w:p>
        </w:tc>
        <w:tc>
          <w:tcPr>
            <w:tcW w:w="510" w:type="pct"/>
            <w:tcBorders>
              <w:top w:val="nil"/>
              <w:left w:val="nil"/>
              <w:bottom w:val="nil"/>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bCs/>
                <w:color w:val="000000"/>
                <w:sz w:val="18"/>
                <w:szCs w:val="18"/>
              </w:rPr>
            </w:pPr>
            <w:r w:rsidRPr="00AE70E3">
              <w:rPr>
                <w:rFonts w:cs="Arial"/>
                <w:color w:val="000000"/>
                <w:sz w:val="18"/>
                <w:szCs w:val="18"/>
              </w:rPr>
              <w:t>10,410</w:t>
            </w:r>
          </w:p>
        </w:tc>
        <w:tc>
          <w:tcPr>
            <w:tcW w:w="510" w:type="pct"/>
            <w:tcBorders>
              <w:top w:val="nil"/>
              <w:left w:val="nil"/>
              <w:bottom w:val="nil"/>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w:t>
            </w:r>
          </w:p>
        </w:tc>
        <w:tc>
          <w:tcPr>
            <w:tcW w:w="511" w:type="pct"/>
            <w:tcBorders>
              <w:top w:val="nil"/>
              <w:left w:val="nil"/>
              <w:bottom w:val="nil"/>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10,410</w:t>
            </w:r>
          </w:p>
        </w:tc>
      </w:tr>
      <w:tr w:rsidR="00BB4730" w:rsidRPr="00A76890" w:rsidTr="00562F9C">
        <w:trPr>
          <w:trHeight w:val="20"/>
        </w:trPr>
        <w:tc>
          <w:tcPr>
            <w:tcW w:w="1937" w:type="pct"/>
            <w:tcBorders>
              <w:top w:val="nil"/>
              <w:left w:val="nil"/>
              <w:right w:val="nil"/>
            </w:tcBorders>
            <w:shd w:val="clear" w:color="auto" w:fill="auto"/>
            <w:vAlign w:val="center"/>
            <w:hideMark/>
          </w:tcPr>
          <w:p w:rsidR="00BB4730" w:rsidRPr="00AE70E3" w:rsidRDefault="00BB4730" w:rsidP="00704CC0">
            <w:pPr>
              <w:keepNext/>
              <w:keepLines/>
              <w:tabs>
                <w:tab w:val="left" w:pos="567"/>
                <w:tab w:val="left" w:pos="1134"/>
                <w:tab w:val="left" w:pos="1701"/>
                <w:tab w:val="left" w:pos="2268"/>
              </w:tabs>
              <w:ind w:left="567"/>
              <w:rPr>
                <w:rFonts w:cs="Arial"/>
                <w:color w:val="000000"/>
                <w:sz w:val="18"/>
                <w:szCs w:val="18"/>
              </w:rPr>
            </w:pPr>
            <w:r w:rsidRPr="00AE70E3">
              <w:rPr>
                <w:rFonts w:cs="Arial"/>
                <w:color w:val="000000"/>
                <w:sz w:val="18"/>
                <w:szCs w:val="18"/>
              </w:rPr>
              <w:t>Additions</w:t>
            </w:r>
          </w:p>
        </w:tc>
        <w:tc>
          <w:tcPr>
            <w:tcW w:w="510" w:type="pct"/>
            <w:tcBorders>
              <w:top w:val="nil"/>
              <w:left w:val="nil"/>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w:t>
            </w:r>
          </w:p>
        </w:tc>
        <w:tc>
          <w:tcPr>
            <w:tcW w:w="510" w:type="pct"/>
            <w:tcBorders>
              <w:top w:val="nil"/>
              <w:left w:val="nil"/>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b/>
                <w:bCs/>
                <w:color w:val="000000"/>
                <w:sz w:val="18"/>
                <w:szCs w:val="18"/>
              </w:rPr>
            </w:pPr>
            <w:r w:rsidRPr="00AE70E3">
              <w:rPr>
                <w:rFonts w:cs="Arial"/>
                <w:b/>
                <w:bCs/>
                <w:color w:val="000000"/>
                <w:sz w:val="18"/>
                <w:szCs w:val="18"/>
              </w:rPr>
              <w:t>-</w:t>
            </w:r>
          </w:p>
        </w:tc>
        <w:tc>
          <w:tcPr>
            <w:tcW w:w="511" w:type="pct"/>
            <w:tcBorders>
              <w:top w:val="nil"/>
              <w:left w:val="nil"/>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outlineLvl w:val="1"/>
              <w:rPr>
                <w:rFonts w:cs="Arial"/>
                <w:b/>
                <w:color w:val="000000"/>
                <w:sz w:val="18"/>
                <w:szCs w:val="18"/>
              </w:rPr>
            </w:pPr>
            <w:r w:rsidRPr="00AE70E3">
              <w:rPr>
                <w:rFonts w:cs="Arial"/>
                <w:b/>
                <w:color w:val="000000"/>
                <w:sz w:val="18"/>
                <w:szCs w:val="18"/>
              </w:rPr>
              <w:t>-</w:t>
            </w:r>
          </w:p>
        </w:tc>
        <w:tc>
          <w:tcPr>
            <w:tcW w:w="510" w:type="pct"/>
            <w:tcBorders>
              <w:top w:val="nil"/>
              <w:left w:val="nil"/>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bCs/>
                <w:color w:val="000000"/>
                <w:sz w:val="18"/>
                <w:szCs w:val="18"/>
              </w:rPr>
            </w:pPr>
            <w:r w:rsidRPr="00AE70E3">
              <w:rPr>
                <w:rFonts w:cs="Arial"/>
                <w:bCs/>
                <w:color w:val="000000"/>
                <w:sz w:val="18"/>
                <w:szCs w:val="18"/>
              </w:rPr>
              <w:t>-</w:t>
            </w:r>
          </w:p>
        </w:tc>
        <w:tc>
          <w:tcPr>
            <w:tcW w:w="510" w:type="pct"/>
            <w:tcBorders>
              <w:top w:val="nil"/>
              <w:left w:val="nil"/>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bCs/>
                <w:color w:val="000000"/>
                <w:sz w:val="18"/>
                <w:szCs w:val="18"/>
              </w:rPr>
            </w:pPr>
            <w:r w:rsidRPr="00AE70E3">
              <w:rPr>
                <w:rFonts w:cs="Arial"/>
                <w:bCs/>
                <w:color w:val="000000"/>
                <w:sz w:val="18"/>
                <w:szCs w:val="18"/>
              </w:rPr>
              <w:t>-</w:t>
            </w:r>
          </w:p>
        </w:tc>
        <w:tc>
          <w:tcPr>
            <w:tcW w:w="511" w:type="pct"/>
            <w:tcBorders>
              <w:top w:val="nil"/>
              <w:left w:val="nil"/>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outlineLvl w:val="1"/>
              <w:rPr>
                <w:rFonts w:cs="Arial"/>
                <w:color w:val="000000"/>
                <w:sz w:val="18"/>
                <w:szCs w:val="18"/>
              </w:rPr>
            </w:pPr>
            <w:r w:rsidRPr="00AE70E3">
              <w:rPr>
                <w:rFonts w:cs="Arial"/>
                <w:color w:val="000000"/>
                <w:sz w:val="18"/>
                <w:szCs w:val="18"/>
              </w:rPr>
              <w:t>-</w:t>
            </w:r>
          </w:p>
        </w:tc>
      </w:tr>
      <w:tr w:rsidR="00BB4730" w:rsidRPr="00A76890" w:rsidTr="00562F9C">
        <w:trPr>
          <w:trHeight w:val="20"/>
        </w:trPr>
        <w:tc>
          <w:tcPr>
            <w:tcW w:w="1937" w:type="pct"/>
            <w:tcBorders>
              <w:top w:val="nil"/>
              <w:left w:val="nil"/>
              <w:right w:val="nil"/>
            </w:tcBorders>
            <w:shd w:val="clear" w:color="auto" w:fill="auto"/>
            <w:vAlign w:val="center"/>
            <w:hideMark/>
          </w:tcPr>
          <w:p w:rsidR="00BB4730" w:rsidRPr="00AE70E3" w:rsidRDefault="00BB4730" w:rsidP="00704CC0">
            <w:pPr>
              <w:keepNext/>
              <w:keepLines/>
              <w:tabs>
                <w:tab w:val="left" w:pos="567"/>
                <w:tab w:val="left" w:pos="1134"/>
                <w:tab w:val="left" w:pos="1701"/>
                <w:tab w:val="left" w:pos="2268"/>
              </w:tabs>
              <w:ind w:left="567"/>
              <w:rPr>
                <w:rFonts w:cs="Arial"/>
                <w:color w:val="000000"/>
                <w:sz w:val="18"/>
                <w:szCs w:val="18"/>
              </w:rPr>
            </w:pPr>
            <w:r w:rsidRPr="00AE70E3">
              <w:rPr>
                <w:rFonts w:cs="Arial"/>
                <w:color w:val="000000"/>
                <w:sz w:val="18"/>
                <w:szCs w:val="18"/>
              </w:rPr>
              <w:t>Disposal</w:t>
            </w:r>
          </w:p>
        </w:tc>
        <w:tc>
          <w:tcPr>
            <w:tcW w:w="510" w:type="pct"/>
            <w:tcBorders>
              <w:top w:val="nil"/>
              <w:left w:val="nil"/>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w:t>
            </w:r>
          </w:p>
        </w:tc>
        <w:tc>
          <w:tcPr>
            <w:tcW w:w="510" w:type="pct"/>
            <w:tcBorders>
              <w:top w:val="nil"/>
              <w:left w:val="nil"/>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(5,039)</w:t>
            </w:r>
          </w:p>
        </w:tc>
        <w:tc>
          <w:tcPr>
            <w:tcW w:w="511" w:type="pct"/>
            <w:tcBorders>
              <w:top w:val="nil"/>
              <w:left w:val="nil"/>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(5,039)</w:t>
            </w:r>
          </w:p>
        </w:tc>
        <w:tc>
          <w:tcPr>
            <w:tcW w:w="510" w:type="pct"/>
            <w:tcBorders>
              <w:top w:val="nil"/>
              <w:left w:val="nil"/>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bCs/>
                <w:color w:val="000000"/>
                <w:sz w:val="18"/>
                <w:szCs w:val="18"/>
              </w:rPr>
            </w:pPr>
            <w:r w:rsidRPr="00AE70E3">
              <w:rPr>
                <w:rFonts w:cs="Arial"/>
                <w:color w:val="000000"/>
                <w:sz w:val="18"/>
                <w:szCs w:val="18"/>
              </w:rPr>
              <w:t>(191)</w:t>
            </w:r>
          </w:p>
        </w:tc>
        <w:tc>
          <w:tcPr>
            <w:tcW w:w="510" w:type="pct"/>
            <w:tcBorders>
              <w:top w:val="nil"/>
              <w:left w:val="nil"/>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w:t>
            </w:r>
          </w:p>
        </w:tc>
        <w:tc>
          <w:tcPr>
            <w:tcW w:w="511" w:type="pct"/>
            <w:tcBorders>
              <w:top w:val="nil"/>
              <w:left w:val="nil"/>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(191)</w:t>
            </w:r>
          </w:p>
        </w:tc>
      </w:tr>
      <w:tr w:rsidR="00565907" w:rsidRPr="00A76890" w:rsidTr="00562F9C">
        <w:trPr>
          <w:trHeight w:val="20"/>
        </w:trPr>
        <w:tc>
          <w:tcPr>
            <w:tcW w:w="1937" w:type="pct"/>
            <w:tcBorders>
              <w:left w:val="nil"/>
              <w:bottom w:val="nil"/>
              <w:right w:val="nil"/>
            </w:tcBorders>
            <w:shd w:val="clear" w:color="auto" w:fill="auto"/>
            <w:vAlign w:val="center"/>
          </w:tcPr>
          <w:p w:rsidR="00565907" w:rsidRPr="00AE70E3" w:rsidRDefault="00565907" w:rsidP="00704CC0">
            <w:pPr>
              <w:keepNext/>
              <w:keepLines/>
              <w:tabs>
                <w:tab w:val="left" w:pos="567"/>
                <w:tab w:val="left" w:pos="1134"/>
                <w:tab w:val="left" w:pos="1701"/>
                <w:tab w:val="left" w:pos="2268"/>
              </w:tabs>
              <w:ind w:left="567"/>
              <w:rPr>
                <w:rFonts w:cs="Arial"/>
                <w:color w:val="000000"/>
                <w:sz w:val="18"/>
                <w:szCs w:val="18"/>
              </w:rPr>
            </w:pPr>
            <w:r w:rsidRPr="00AE70E3">
              <w:rPr>
                <w:rFonts w:cs="Arial"/>
                <w:color w:val="000000"/>
                <w:sz w:val="18"/>
                <w:szCs w:val="18"/>
              </w:rPr>
              <w:t>Transfer to current investments</w:t>
            </w:r>
          </w:p>
        </w:tc>
        <w:tc>
          <w:tcPr>
            <w:tcW w:w="510" w:type="pct"/>
            <w:tcBorders>
              <w:left w:val="nil"/>
              <w:bottom w:val="single" w:sz="4" w:space="0" w:color="auto"/>
              <w:right w:val="nil"/>
            </w:tcBorders>
            <w:shd w:val="clear" w:color="auto" w:fill="auto"/>
            <w:vAlign w:val="bottom"/>
          </w:tcPr>
          <w:p w:rsidR="00565907" w:rsidRPr="00AE70E3" w:rsidRDefault="00565907"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w:t>
            </w:r>
          </w:p>
        </w:tc>
        <w:tc>
          <w:tcPr>
            <w:tcW w:w="510" w:type="pct"/>
            <w:tcBorders>
              <w:left w:val="nil"/>
              <w:bottom w:val="single" w:sz="4" w:space="0" w:color="auto"/>
              <w:right w:val="nil"/>
            </w:tcBorders>
            <w:shd w:val="clear" w:color="auto" w:fill="auto"/>
            <w:vAlign w:val="bottom"/>
          </w:tcPr>
          <w:p w:rsidR="00565907" w:rsidRPr="00AE70E3" w:rsidRDefault="00565907"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w:t>
            </w:r>
          </w:p>
        </w:tc>
        <w:tc>
          <w:tcPr>
            <w:tcW w:w="511" w:type="pct"/>
            <w:tcBorders>
              <w:left w:val="nil"/>
              <w:bottom w:val="single" w:sz="4" w:space="0" w:color="auto"/>
              <w:right w:val="nil"/>
            </w:tcBorders>
            <w:shd w:val="clear" w:color="auto" w:fill="auto"/>
            <w:vAlign w:val="bottom"/>
          </w:tcPr>
          <w:p w:rsidR="00565907" w:rsidRPr="00AE70E3" w:rsidRDefault="00565907"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w:t>
            </w:r>
          </w:p>
        </w:tc>
        <w:tc>
          <w:tcPr>
            <w:tcW w:w="510" w:type="pct"/>
            <w:tcBorders>
              <w:left w:val="nil"/>
              <w:bottom w:val="single" w:sz="4" w:space="0" w:color="auto"/>
              <w:right w:val="nil"/>
            </w:tcBorders>
            <w:shd w:val="clear" w:color="auto" w:fill="auto"/>
            <w:vAlign w:val="bottom"/>
          </w:tcPr>
          <w:p w:rsidR="00565907" w:rsidRPr="00AE70E3" w:rsidRDefault="00565907"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(10,219)</w:t>
            </w:r>
          </w:p>
        </w:tc>
        <w:tc>
          <w:tcPr>
            <w:tcW w:w="510" w:type="pct"/>
            <w:tcBorders>
              <w:left w:val="nil"/>
              <w:bottom w:val="single" w:sz="4" w:space="0" w:color="auto"/>
              <w:right w:val="nil"/>
            </w:tcBorders>
            <w:shd w:val="clear" w:color="auto" w:fill="auto"/>
            <w:vAlign w:val="bottom"/>
          </w:tcPr>
          <w:p w:rsidR="00565907" w:rsidRPr="00AE70E3" w:rsidRDefault="00565907"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10,219</w:t>
            </w:r>
          </w:p>
        </w:tc>
        <w:tc>
          <w:tcPr>
            <w:tcW w:w="511" w:type="pct"/>
            <w:tcBorders>
              <w:left w:val="nil"/>
              <w:bottom w:val="single" w:sz="4" w:space="0" w:color="auto"/>
              <w:right w:val="nil"/>
            </w:tcBorders>
            <w:shd w:val="clear" w:color="auto" w:fill="auto"/>
            <w:vAlign w:val="bottom"/>
          </w:tcPr>
          <w:p w:rsidR="00565907" w:rsidRPr="00AE70E3" w:rsidRDefault="00565907"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w:t>
            </w:r>
          </w:p>
        </w:tc>
      </w:tr>
      <w:tr w:rsidR="00BB4730" w:rsidRPr="00A76890" w:rsidTr="00562F9C">
        <w:trPr>
          <w:trHeight w:val="20"/>
        </w:trPr>
        <w:tc>
          <w:tcPr>
            <w:tcW w:w="1937" w:type="pct"/>
            <w:tcBorders>
              <w:top w:val="nil"/>
              <w:left w:val="nil"/>
              <w:bottom w:val="nil"/>
              <w:right w:val="nil"/>
            </w:tcBorders>
            <w:shd w:val="clear" w:color="auto" w:fill="auto"/>
            <w:vAlign w:val="center"/>
            <w:hideMark/>
          </w:tcPr>
          <w:p w:rsidR="00BB4730" w:rsidRPr="00AE70E3" w:rsidRDefault="00BB4730" w:rsidP="00704CC0">
            <w:pPr>
              <w:keepNext/>
              <w:keepLines/>
              <w:tabs>
                <w:tab w:val="left" w:pos="567"/>
                <w:tab w:val="left" w:pos="1134"/>
                <w:tab w:val="left" w:pos="1701"/>
                <w:tab w:val="left" w:pos="2268"/>
              </w:tabs>
              <w:ind w:left="567"/>
              <w:rPr>
                <w:rFonts w:cs="Arial"/>
                <w:color w:val="000000"/>
                <w:sz w:val="18"/>
                <w:szCs w:val="18"/>
              </w:rPr>
            </w:pPr>
          </w:p>
        </w:tc>
        <w:tc>
          <w:tcPr>
            <w:tcW w:w="510" w:type="pct"/>
            <w:tcBorders>
              <w:top w:val="single" w:sz="4" w:space="0" w:color="auto"/>
              <w:left w:val="nil"/>
              <w:bottom w:val="single" w:sz="4" w:space="0" w:color="auto"/>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w:t>
            </w:r>
          </w:p>
        </w:tc>
        <w:tc>
          <w:tcPr>
            <w:tcW w:w="510" w:type="pct"/>
            <w:tcBorders>
              <w:top w:val="single" w:sz="4" w:space="0" w:color="auto"/>
              <w:left w:val="nil"/>
              <w:bottom w:val="single" w:sz="4" w:space="0" w:color="auto"/>
              <w:right w:val="nil"/>
            </w:tcBorders>
            <w:shd w:val="clear" w:color="auto" w:fill="auto"/>
            <w:vAlign w:val="bottom"/>
            <w:hideMark/>
          </w:tcPr>
          <w:p w:rsidR="00BB4730" w:rsidRPr="00AE70E3" w:rsidRDefault="00565907"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2,041</w:t>
            </w:r>
          </w:p>
        </w:tc>
        <w:tc>
          <w:tcPr>
            <w:tcW w:w="511" w:type="pct"/>
            <w:tcBorders>
              <w:top w:val="single" w:sz="4" w:space="0" w:color="auto"/>
              <w:left w:val="nil"/>
              <w:bottom w:val="single" w:sz="4" w:space="0" w:color="auto"/>
              <w:right w:val="nil"/>
            </w:tcBorders>
            <w:shd w:val="clear" w:color="auto" w:fill="auto"/>
            <w:vAlign w:val="bottom"/>
            <w:hideMark/>
          </w:tcPr>
          <w:p w:rsidR="00BB4730" w:rsidRPr="00AE70E3" w:rsidRDefault="00565907"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2,041</w:t>
            </w:r>
          </w:p>
        </w:tc>
        <w:tc>
          <w:tcPr>
            <w:tcW w:w="510" w:type="pct"/>
            <w:tcBorders>
              <w:top w:val="single" w:sz="4" w:space="0" w:color="auto"/>
              <w:left w:val="nil"/>
              <w:bottom w:val="single" w:sz="4" w:space="0" w:color="auto"/>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w:t>
            </w:r>
          </w:p>
        </w:tc>
        <w:tc>
          <w:tcPr>
            <w:tcW w:w="510" w:type="pct"/>
            <w:tcBorders>
              <w:top w:val="single" w:sz="4" w:space="0" w:color="auto"/>
              <w:left w:val="nil"/>
              <w:bottom w:val="single" w:sz="4" w:space="0" w:color="auto"/>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10,219</w:t>
            </w:r>
          </w:p>
        </w:tc>
        <w:tc>
          <w:tcPr>
            <w:tcW w:w="511" w:type="pct"/>
            <w:tcBorders>
              <w:top w:val="single" w:sz="4" w:space="0" w:color="auto"/>
              <w:left w:val="nil"/>
              <w:bottom w:val="single" w:sz="4" w:space="0" w:color="auto"/>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10,219</w:t>
            </w:r>
          </w:p>
        </w:tc>
      </w:tr>
      <w:tr w:rsidR="00BB4730" w:rsidRPr="00A76890" w:rsidTr="00562F9C">
        <w:trPr>
          <w:trHeight w:val="20"/>
        </w:trPr>
        <w:tc>
          <w:tcPr>
            <w:tcW w:w="1937" w:type="pct"/>
            <w:tcBorders>
              <w:top w:val="nil"/>
              <w:left w:val="nil"/>
              <w:bottom w:val="nil"/>
              <w:right w:val="nil"/>
            </w:tcBorders>
            <w:shd w:val="clear" w:color="auto" w:fill="auto"/>
            <w:vAlign w:val="center"/>
            <w:hideMark/>
          </w:tcPr>
          <w:p w:rsidR="00BB4730" w:rsidRPr="00AE70E3" w:rsidRDefault="00BB4730" w:rsidP="00704CC0">
            <w:pPr>
              <w:keepNext/>
              <w:keepLines/>
              <w:tabs>
                <w:tab w:val="left" w:pos="567"/>
                <w:tab w:val="left" w:pos="1134"/>
                <w:tab w:val="left" w:pos="1701"/>
                <w:tab w:val="left" w:pos="2268"/>
              </w:tabs>
              <w:ind w:left="567"/>
              <w:rPr>
                <w:rFonts w:cs="Arial"/>
                <w:color w:val="000000"/>
                <w:sz w:val="18"/>
                <w:szCs w:val="18"/>
              </w:rPr>
            </w:pPr>
            <w:proofErr w:type="spellStart"/>
            <w:r w:rsidRPr="00AE70E3">
              <w:rPr>
                <w:rFonts w:cs="Arial"/>
                <w:color w:val="000000"/>
                <w:sz w:val="18"/>
                <w:szCs w:val="18"/>
              </w:rPr>
              <w:t>Unrealised</w:t>
            </w:r>
            <w:proofErr w:type="spellEnd"/>
            <w:r w:rsidRPr="00AE70E3">
              <w:rPr>
                <w:rFonts w:cs="Arial"/>
                <w:color w:val="000000"/>
                <w:sz w:val="18"/>
                <w:szCs w:val="18"/>
              </w:rPr>
              <w:t xml:space="preserve"> (loss)</w:t>
            </w:r>
          </w:p>
        </w:tc>
        <w:tc>
          <w:tcPr>
            <w:tcW w:w="510" w:type="pct"/>
            <w:tcBorders>
              <w:top w:val="single" w:sz="4" w:space="0" w:color="auto"/>
              <w:left w:val="nil"/>
              <w:bottom w:val="single" w:sz="4" w:space="0" w:color="auto"/>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w:t>
            </w:r>
          </w:p>
        </w:tc>
        <w:tc>
          <w:tcPr>
            <w:tcW w:w="510" w:type="pct"/>
            <w:tcBorders>
              <w:top w:val="single" w:sz="4" w:space="0" w:color="auto"/>
              <w:left w:val="nil"/>
              <w:bottom w:val="single" w:sz="4" w:space="0" w:color="auto"/>
              <w:right w:val="nil"/>
            </w:tcBorders>
            <w:shd w:val="clear" w:color="auto" w:fill="auto"/>
            <w:vAlign w:val="bottom"/>
            <w:hideMark/>
          </w:tcPr>
          <w:p w:rsidR="00BB4730" w:rsidRPr="00AE70E3" w:rsidRDefault="00565907"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w:t>
            </w:r>
            <w:r w:rsidR="007023D9" w:rsidRPr="00AE70E3">
              <w:rPr>
                <w:rFonts w:cs="Arial"/>
                <w:b/>
                <w:color w:val="000000"/>
                <w:sz w:val="18"/>
                <w:szCs w:val="18"/>
              </w:rPr>
              <w:t>166</w:t>
            </w:r>
            <w:r w:rsidRPr="00AE70E3">
              <w:rPr>
                <w:rFonts w:cs="Arial"/>
                <w:b/>
                <w:color w:val="000000"/>
                <w:sz w:val="18"/>
                <w:szCs w:val="18"/>
              </w:rPr>
              <w:t>)</w:t>
            </w:r>
          </w:p>
        </w:tc>
        <w:tc>
          <w:tcPr>
            <w:tcW w:w="511" w:type="pct"/>
            <w:tcBorders>
              <w:top w:val="single" w:sz="4" w:space="0" w:color="auto"/>
              <w:left w:val="nil"/>
              <w:bottom w:val="single" w:sz="4" w:space="0" w:color="auto"/>
              <w:right w:val="nil"/>
            </w:tcBorders>
            <w:shd w:val="clear" w:color="auto" w:fill="auto"/>
            <w:vAlign w:val="bottom"/>
            <w:hideMark/>
          </w:tcPr>
          <w:p w:rsidR="00BB4730" w:rsidRPr="00AE70E3" w:rsidRDefault="00565907"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w:t>
            </w:r>
            <w:r w:rsidR="007023D9" w:rsidRPr="00AE70E3">
              <w:rPr>
                <w:rFonts w:cs="Arial"/>
                <w:b/>
                <w:color w:val="000000"/>
                <w:sz w:val="18"/>
                <w:szCs w:val="18"/>
              </w:rPr>
              <w:t>166</w:t>
            </w:r>
            <w:r w:rsidRPr="00AE70E3">
              <w:rPr>
                <w:rFonts w:cs="Arial"/>
                <w:b/>
                <w:color w:val="000000"/>
                <w:sz w:val="18"/>
                <w:szCs w:val="18"/>
              </w:rPr>
              <w:t>)</w:t>
            </w:r>
          </w:p>
        </w:tc>
        <w:tc>
          <w:tcPr>
            <w:tcW w:w="510" w:type="pct"/>
            <w:tcBorders>
              <w:top w:val="single" w:sz="4" w:space="0" w:color="auto"/>
              <w:left w:val="nil"/>
              <w:bottom w:val="single" w:sz="4" w:space="0" w:color="auto"/>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w:t>
            </w:r>
          </w:p>
        </w:tc>
        <w:tc>
          <w:tcPr>
            <w:tcW w:w="510" w:type="pct"/>
            <w:tcBorders>
              <w:top w:val="single" w:sz="4" w:space="0" w:color="auto"/>
              <w:left w:val="nil"/>
              <w:bottom w:val="single" w:sz="4" w:space="0" w:color="auto"/>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(3,139)</w:t>
            </w:r>
          </w:p>
        </w:tc>
        <w:tc>
          <w:tcPr>
            <w:tcW w:w="511" w:type="pct"/>
            <w:tcBorders>
              <w:top w:val="single" w:sz="4" w:space="0" w:color="auto"/>
              <w:left w:val="nil"/>
              <w:bottom w:val="single" w:sz="4" w:space="0" w:color="auto"/>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(3,139)</w:t>
            </w:r>
          </w:p>
        </w:tc>
      </w:tr>
      <w:tr w:rsidR="00BB4730" w:rsidRPr="00A76890" w:rsidTr="00562F9C">
        <w:trPr>
          <w:trHeight w:val="20"/>
        </w:trPr>
        <w:tc>
          <w:tcPr>
            <w:tcW w:w="1937" w:type="pct"/>
            <w:tcBorders>
              <w:top w:val="nil"/>
              <w:left w:val="nil"/>
              <w:bottom w:val="nil"/>
              <w:right w:val="nil"/>
            </w:tcBorders>
            <w:shd w:val="clear" w:color="auto" w:fill="auto"/>
            <w:vAlign w:val="center"/>
            <w:hideMark/>
          </w:tcPr>
          <w:p w:rsidR="00BB4730" w:rsidRPr="00AE70E3" w:rsidRDefault="00BB4730" w:rsidP="00704CC0">
            <w:pPr>
              <w:keepNext/>
              <w:keepLines/>
              <w:tabs>
                <w:tab w:val="left" w:pos="567"/>
                <w:tab w:val="left" w:pos="1134"/>
                <w:tab w:val="left" w:pos="1701"/>
                <w:tab w:val="left" w:pos="2268"/>
              </w:tabs>
              <w:ind w:left="567"/>
              <w:rPr>
                <w:rFonts w:cs="Arial"/>
                <w:b/>
                <w:bCs/>
                <w:color w:val="000000"/>
                <w:sz w:val="18"/>
                <w:szCs w:val="18"/>
              </w:rPr>
            </w:pPr>
            <w:r w:rsidRPr="00AE70E3">
              <w:rPr>
                <w:rFonts w:cs="Arial"/>
                <w:b/>
                <w:bCs/>
                <w:color w:val="000000"/>
                <w:sz w:val="18"/>
                <w:szCs w:val="18"/>
              </w:rPr>
              <w:t>A</w:t>
            </w:r>
          </w:p>
        </w:tc>
        <w:tc>
          <w:tcPr>
            <w:tcW w:w="510" w:type="pct"/>
            <w:tcBorders>
              <w:top w:val="single" w:sz="4" w:space="0" w:color="auto"/>
              <w:left w:val="nil"/>
              <w:bottom w:val="single" w:sz="4" w:space="0" w:color="auto"/>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w:t>
            </w:r>
          </w:p>
        </w:tc>
        <w:tc>
          <w:tcPr>
            <w:tcW w:w="510" w:type="pct"/>
            <w:tcBorders>
              <w:top w:val="single" w:sz="4" w:space="0" w:color="auto"/>
              <w:left w:val="nil"/>
              <w:bottom w:val="single" w:sz="4" w:space="0" w:color="auto"/>
              <w:right w:val="nil"/>
            </w:tcBorders>
            <w:shd w:val="clear" w:color="auto" w:fill="auto"/>
            <w:vAlign w:val="bottom"/>
            <w:hideMark/>
          </w:tcPr>
          <w:p w:rsidR="00BB4730" w:rsidRPr="00AE70E3" w:rsidRDefault="00565907"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1,</w:t>
            </w:r>
            <w:r w:rsidR="007023D9" w:rsidRPr="00AE70E3">
              <w:rPr>
                <w:rFonts w:cs="Arial"/>
                <w:b/>
                <w:color w:val="000000"/>
                <w:sz w:val="18"/>
                <w:szCs w:val="18"/>
              </w:rPr>
              <w:t>87</w:t>
            </w:r>
            <w:r w:rsidRPr="00AE70E3">
              <w:rPr>
                <w:rFonts w:cs="Arial"/>
                <w:b/>
                <w:color w:val="000000"/>
                <w:sz w:val="18"/>
                <w:szCs w:val="18"/>
              </w:rPr>
              <w:t>5</w:t>
            </w:r>
          </w:p>
        </w:tc>
        <w:tc>
          <w:tcPr>
            <w:tcW w:w="511" w:type="pct"/>
            <w:tcBorders>
              <w:top w:val="single" w:sz="4" w:space="0" w:color="auto"/>
              <w:left w:val="nil"/>
              <w:bottom w:val="single" w:sz="4" w:space="0" w:color="auto"/>
              <w:right w:val="nil"/>
            </w:tcBorders>
            <w:shd w:val="clear" w:color="auto" w:fill="auto"/>
            <w:vAlign w:val="bottom"/>
            <w:hideMark/>
          </w:tcPr>
          <w:p w:rsidR="00BB4730" w:rsidRPr="00AE70E3" w:rsidRDefault="00565907"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1,</w:t>
            </w:r>
            <w:r w:rsidR="007023D9" w:rsidRPr="00AE70E3">
              <w:rPr>
                <w:rFonts w:cs="Arial"/>
                <w:b/>
                <w:color w:val="000000"/>
                <w:sz w:val="18"/>
                <w:szCs w:val="18"/>
              </w:rPr>
              <w:t>875</w:t>
            </w:r>
          </w:p>
        </w:tc>
        <w:tc>
          <w:tcPr>
            <w:tcW w:w="510" w:type="pct"/>
            <w:tcBorders>
              <w:top w:val="single" w:sz="4" w:space="0" w:color="auto"/>
              <w:left w:val="nil"/>
              <w:bottom w:val="single" w:sz="4" w:space="0" w:color="auto"/>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bCs/>
                <w:color w:val="000000"/>
                <w:sz w:val="18"/>
                <w:szCs w:val="18"/>
              </w:rPr>
            </w:pPr>
            <w:r w:rsidRPr="00AE70E3">
              <w:rPr>
                <w:rFonts w:cs="Arial"/>
                <w:bCs/>
                <w:color w:val="000000"/>
                <w:sz w:val="18"/>
                <w:szCs w:val="18"/>
              </w:rPr>
              <w:t>-</w:t>
            </w:r>
          </w:p>
        </w:tc>
        <w:tc>
          <w:tcPr>
            <w:tcW w:w="510" w:type="pct"/>
            <w:tcBorders>
              <w:top w:val="single" w:sz="4" w:space="0" w:color="auto"/>
              <w:left w:val="nil"/>
              <w:bottom w:val="single" w:sz="4" w:space="0" w:color="auto"/>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7,080</w:t>
            </w:r>
          </w:p>
        </w:tc>
        <w:tc>
          <w:tcPr>
            <w:tcW w:w="511" w:type="pct"/>
            <w:tcBorders>
              <w:top w:val="single" w:sz="4" w:space="0" w:color="auto"/>
              <w:left w:val="nil"/>
              <w:bottom w:val="single" w:sz="4" w:space="0" w:color="auto"/>
              <w:right w:val="nil"/>
            </w:tcBorders>
            <w:shd w:val="clear" w:color="auto" w:fill="auto"/>
            <w:vAlign w:val="bottom"/>
            <w:hideMark/>
          </w:tcPr>
          <w:p w:rsidR="00BB4730" w:rsidRPr="00AE70E3" w:rsidRDefault="00BB4730"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7,080</w:t>
            </w:r>
          </w:p>
        </w:tc>
      </w:tr>
      <w:tr w:rsidR="00506DA4" w:rsidRPr="00A76890" w:rsidTr="00562F9C">
        <w:trPr>
          <w:trHeight w:val="20"/>
        </w:trPr>
        <w:tc>
          <w:tcPr>
            <w:tcW w:w="1937" w:type="pct"/>
            <w:tcBorders>
              <w:top w:val="nil"/>
              <w:left w:val="nil"/>
              <w:bottom w:val="nil"/>
              <w:right w:val="nil"/>
            </w:tcBorders>
            <w:shd w:val="clear" w:color="auto" w:fill="auto"/>
            <w:vAlign w:val="bottom"/>
            <w:hideMark/>
          </w:tcPr>
          <w:p w:rsidR="00506DA4" w:rsidRPr="00AE70E3" w:rsidRDefault="00506DA4" w:rsidP="00704CC0">
            <w:pPr>
              <w:keepNext/>
              <w:keepLines/>
              <w:tabs>
                <w:tab w:val="left" w:pos="567"/>
                <w:tab w:val="left" w:pos="1134"/>
                <w:tab w:val="left" w:pos="1701"/>
                <w:tab w:val="left" w:pos="2268"/>
              </w:tabs>
              <w:spacing w:before="120"/>
              <w:ind w:left="567"/>
              <w:rPr>
                <w:rFonts w:cs="Arial"/>
                <w:b/>
                <w:bCs/>
                <w:color w:val="000000"/>
                <w:sz w:val="18"/>
                <w:szCs w:val="18"/>
              </w:rPr>
            </w:pPr>
            <w:r w:rsidRPr="00AE70E3">
              <w:rPr>
                <w:rFonts w:cs="Arial"/>
                <w:b/>
                <w:bCs/>
                <w:color w:val="000000"/>
                <w:sz w:val="18"/>
                <w:szCs w:val="18"/>
              </w:rPr>
              <w:t>Unlisted investments</w:t>
            </w:r>
          </w:p>
        </w:tc>
        <w:tc>
          <w:tcPr>
            <w:tcW w:w="510" w:type="pct"/>
            <w:tcBorders>
              <w:left w:val="nil"/>
              <w:right w:val="nil"/>
            </w:tcBorders>
            <w:shd w:val="clear" w:color="auto" w:fill="auto"/>
            <w:vAlign w:val="bottom"/>
            <w:hideMark/>
          </w:tcPr>
          <w:p w:rsidR="00506DA4" w:rsidRPr="00AE70E3" w:rsidRDefault="00506DA4" w:rsidP="00704CC0">
            <w:pPr>
              <w:keepNext/>
              <w:keepLines/>
              <w:tabs>
                <w:tab w:val="left" w:pos="567"/>
                <w:tab w:val="left" w:pos="1134"/>
                <w:tab w:val="left" w:pos="1701"/>
                <w:tab w:val="left" w:pos="2268"/>
              </w:tabs>
              <w:spacing w:before="120"/>
              <w:jc w:val="right"/>
              <w:rPr>
                <w:rFonts w:cs="Arial"/>
                <w:b/>
                <w:bCs/>
                <w:color w:val="000000"/>
                <w:sz w:val="18"/>
                <w:szCs w:val="18"/>
              </w:rPr>
            </w:pPr>
            <w:r w:rsidRPr="00AE70E3">
              <w:rPr>
                <w:rFonts w:cs="Arial"/>
                <w:b/>
                <w:bCs/>
                <w:color w:val="000000"/>
                <w:sz w:val="18"/>
                <w:szCs w:val="18"/>
              </w:rPr>
              <w:t>Non-current</w:t>
            </w:r>
          </w:p>
        </w:tc>
        <w:tc>
          <w:tcPr>
            <w:tcW w:w="510" w:type="pct"/>
            <w:tcBorders>
              <w:left w:val="nil"/>
              <w:right w:val="nil"/>
            </w:tcBorders>
            <w:shd w:val="clear" w:color="auto" w:fill="auto"/>
            <w:vAlign w:val="bottom"/>
            <w:hideMark/>
          </w:tcPr>
          <w:p w:rsidR="00506DA4" w:rsidRPr="00AE70E3" w:rsidRDefault="00506DA4" w:rsidP="00704CC0">
            <w:pPr>
              <w:keepNext/>
              <w:keepLines/>
              <w:tabs>
                <w:tab w:val="left" w:pos="567"/>
                <w:tab w:val="left" w:pos="1134"/>
                <w:tab w:val="left" w:pos="1701"/>
                <w:tab w:val="left" w:pos="2268"/>
              </w:tabs>
              <w:spacing w:before="120"/>
              <w:jc w:val="right"/>
              <w:rPr>
                <w:rFonts w:cs="Arial"/>
                <w:b/>
                <w:bCs/>
                <w:color w:val="000000"/>
                <w:sz w:val="18"/>
                <w:szCs w:val="18"/>
              </w:rPr>
            </w:pPr>
            <w:r w:rsidRPr="00AE70E3">
              <w:rPr>
                <w:rFonts w:cs="Arial"/>
                <w:b/>
                <w:bCs/>
                <w:color w:val="000000"/>
                <w:sz w:val="18"/>
                <w:szCs w:val="18"/>
              </w:rPr>
              <w:t xml:space="preserve">   Current</w:t>
            </w:r>
          </w:p>
        </w:tc>
        <w:tc>
          <w:tcPr>
            <w:tcW w:w="511" w:type="pct"/>
            <w:tcBorders>
              <w:left w:val="nil"/>
              <w:right w:val="nil"/>
            </w:tcBorders>
            <w:shd w:val="clear" w:color="auto" w:fill="auto"/>
            <w:vAlign w:val="bottom"/>
            <w:hideMark/>
          </w:tcPr>
          <w:p w:rsidR="00506DA4" w:rsidRPr="00AE70E3" w:rsidRDefault="00506DA4" w:rsidP="00704CC0">
            <w:pPr>
              <w:keepNext/>
              <w:keepLines/>
              <w:tabs>
                <w:tab w:val="left" w:pos="567"/>
                <w:tab w:val="left" w:pos="1134"/>
                <w:tab w:val="left" w:pos="1701"/>
                <w:tab w:val="left" w:pos="2268"/>
              </w:tabs>
              <w:spacing w:before="120"/>
              <w:jc w:val="right"/>
              <w:rPr>
                <w:rFonts w:cs="Arial"/>
                <w:b/>
                <w:bCs/>
                <w:color w:val="000000"/>
                <w:sz w:val="18"/>
                <w:szCs w:val="18"/>
              </w:rPr>
            </w:pPr>
            <w:r w:rsidRPr="00AE70E3">
              <w:rPr>
                <w:rFonts w:cs="Arial"/>
                <w:b/>
                <w:bCs/>
                <w:color w:val="000000"/>
                <w:sz w:val="18"/>
                <w:szCs w:val="18"/>
              </w:rPr>
              <w:t>Total</w:t>
            </w:r>
          </w:p>
        </w:tc>
        <w:tc>
          <w:tcPr>
            <w:tcW w:w="510" w:type="pct"/>
            <w:tcBorders>
              <w:left w:val="nil"/>
              <w:right w:val="nil"/>
            </w:tcBorders>
            <w:shd w:val="clear" w:color="auto" w:fill="auto"/>
            <w:vAlign w:val="bottom"/>
            <w:hideMark/>
          </w:tcPr>
          <w:p w:rsidR="00506DA4" w:rsidRPr="00AE70E3" w:rsidRDefault="00506DA4" w:rsidP="00704CC0">
            <w:pPr>
              <w:keepNext/>
              <w:keepLines/>
              <w:tabs>
                <w:tab w:val="left" w:pos="567"/>
                <w:tab w:val="left" w:pos="1134"/>
                <w:tab w:val="left" w:pos="1701"/>
                <w:tab w:val="left" w:pos="2268"/>
              </w:tabs>
              <w:spacing w:before="120"/>
              <w:jc w:val="right"/>
              <w:rPr>
                <w:rFonts w:cs="Arial"/>
                <w:bCs/>
                <w:color w:val="000000"/>
                <w:sz w:val="18"/>
                <w:szCs w:val="18"/>
              </w:rPr>
            </w:pPr>
            <w:r w:rsidRPr="00AE70E3">
              <w:rPr>
                <w:rFonts w:cs="Arial"/>
                <w:bCs/>
                <w:color w:val="000000"/>
                <w:sz w:val="18"/>
                <w:szCs w:val="18"/>
              </w:rPr>
              <w:t>Non-current</w:t>
            </w:r>
          </w:p>
        </w:tc>
        <w:tc>
          <w:tcPr>
            <w:tcW w:w="510" w:type="pct"/>
            <w:tcBorders>
              <w:left w:val="nil"/>
              <w:right w:val="nil"/>
            </w:tcBorders>
            <w:shd w:val="clear" w:color="auto" w:fill="auto"/>
            <w:vAlign w:val="bottom"/>
            <w:hideMark/>
          </w:tcPr>
          <w:p w:rsidR="00506DA4" w:rsidRPr="00AE70E3" w:rsidRDefault="00506DA4" w:rsidP="00704CC0">
            <w:pPr>
              <w:keepNext/>
              <w:keepLines/>
              <w:tabs>
                <w:tab w:val="left" w:pos="567"/>
                <w:tab w:val="left" w:pos="1134"/>
                <w:tab w:val="left" w:pos="1701"/>
                <w:tab w:val="left" w:pos="2268"/>
              </w:tabs>
              <w:spacing w:before="120"/>
              <w:jc w:val="right"/>
              <w:rPr>
                <w:rFonts w:cs="Arial"/>
                <w:bCs/>
                <w:color w:val="000000"/>
                <w:sz w:val="18"/>
                <w:szCs w:val="18"/>
              </w:rPr>
            </w:pPr>
            <w:r w:rsidRPr="00AE70E3">
              <w:rPr>
                <w:rFonts w:cs="Arial"/>
                <w:bCs/>
                <w:color w:val="000000"/>
                <w:sz w:val="18"/>
                <w:szCs w:val="18"/>
              </w:rPr>
              <w:t>Current</w:t>
            </w:r>
          </w:p>
        </w:tc>
        <w:tc>
          <w:tcPr>
            <w:tcW w:w="511" w:type="pct"/>
            <w:tcBorders>
              <w:left w:val="nil"/>
              <w:right w:val="nil"/>
            </w:tcBorders>
            <w:shd w:val="clear" w:color="auto" w:fill="auto"/>
            <w:vAlign w:val="bottom"/>
            <w:hideMark/>
          </w:tcPr>
          <w:p w:rsidR="00506DA4" w:rsidRPr="00AE70E3" w:rsidRDefault="00506DA4" w:rsidP="00704CC0">
            <w:pPr>
              <w:keepNext/>
              <w:keepLines/>
              <w:tabs>
                <w:tab w:val="left" w:pos="567"/>
                <w:tab w:val="left" w:pos="1134"/>
                <w:tab w:val="left" w:pos="1701"/>
                <w:tab w:val="left" w:pos="2268"/>
              </w:tabs>
              <w:spacing w:before="120"/>
              <w:jc w:val="right"/>
              <w:rPr>
                <w:rFonts w:cs="Arial"/>
                <w:bCs/>
                <w:color w:val="000000"/>
                <w:sz w:val="18"/>
                <w:szCs w:val="18"/>
              </w:rPr>
            </w:pPr>
            <w:r w:rsidRPr="00AE70E3">
              <w:rPr>
                <w:rFonts w:cs="Arial"/>
                <w:bCs/>
                <w:color w:val="000000"/>
                <w:sz w:val="18"/>
                <w:szCs w:val="18"/>
              </w:rPr>
              <w:t>Total</w:t>
            </w:r>
          </w:p>
        </w:tc>
      </w:tr>
      <w:tr w:rsidR="00A53719" w:rsidRPr="00A76890" w:rsidTr="00562F9C">
        <w:trPr>
          <w:trHeight w:val="20"/>
        </w:trPr>
        <w:tc>
          <w:tcPr>
            <w:tcW w:w="1937" w:type="pct"/>
            <w:tcBorders>
              <w:top w:val="nil"/>
              <w:left w:val="nil"/>
              <w:bottom w:val="nil"/>
              <w:right w:val="nil"/>
            </w:tcBorders>
            <w:shd w:val="clear" w:color="auto" w:fill="auto"/>
            <w:vAlign w:val="center"/>
            <w:hideMark/>
          </w:tcPr>
          <w:p w:rsidR="00A53719" w:rsidRPr="00AE70E3" w:rsidRDefault="00A53719" w:rsidP="00704CC0">
            <w:pPr>
              <w:keepNext/>
              <w:keepLines/>
              <w:tabs>
                <w:tab w:val="left" w:pos="567"/>
                <w:tab w:val="left" w:pos="1134"/>
                <w:tab w:val="left" w:pos="1701"/>
                <w:tab w:val="left" w:pos="2268"/>
              </w:tabs>
              <w:ind w:left="567"/>
              <w:rPr>
                <w:rFonts w:cs="Arial"/>
                <w:b/>
                <w:bCs/>
                <w:color w:val="000000"/>
                <w:sz w:val="18"/>
                <w:szCs w:val="18"/>
              </w:rPr>
            </w:pPr>
          </w:p>
        </w:tc>
        <w:tc>
          <w:tcPr>
            <w:tcW w:w="510" w:type="pct"/>
            <w:tcBorders>
              <w:left w:val="nil"/>
              <w:bottom w:val="nil"/>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b/>
                <w:bCs/>
                <w:color w:val="000000"/>
                <w:sz w:val="18"/>
                <w:szCs w:val="18"/>
              </w:rPr>
            </w:pPr>
            <w:r w:rsidRPr="00AE70E3">
              <w:rPr>
                <w:rFonts w:cs="Arial"/>
                <w:b/>
                <w:bCs/>
                <w:sz w:val="18"/>
                <w:szCs w:val="18"/>
              </w:rPr>
              <w:t>£'000</w:t>
            </w:r>
          </w:p>
        </w:tc>
        <w:tc>
          <w:tcPr>
            <w:tcW w:w="510" w:type="pct"/>
            <w:tcBorders>
              <w:left w:val="nil"/>
              <w:bottom w:val="nil"/>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b/>
                <w:bCs/>
                <w:color w:val="000000"/>
                <w:sz w:val="18"/>
                <w:szCs w:val="18"/>
              </w:rPr>
            </w:pPr>
            <w:r w:rsidRPr="00AE70E3">
              <w:rPr>
                <w:rFonts w:cs="Arial"/>
                <w:b/>
                <w:bCs/>
                <w:sz w:val="18"/>
                <w:szCs w:val="18"/>
              </w:rPr>
              <w:t>£'000</w:t>
            </w:r>
          </w:p>
        </w:tc>
        <w:tc>
          <w:tcPr>
            <w:tcW w:w="511" w:type="pct"/>
            <w:tcBorders>
              <w:left w:val="nil"/>
              <w:bottom w:val="nil"/>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b/>
                <w:bCs/>
                <w:color w:val="000000"/>
                <w:sz w:val="18"/>
                <w:szCs w:val="18"/>
              </w:rPr>
            </w:pPr>
            <w:r w:rsidRPr="00AE70E3">
              <w:rPr>
                <w:rFonts w:cs="Arial"/>
                <w:b/>
                <w:bCs/>
                <w:sz w:val="18"/>
                <w:szCs w:val="18"/>
              </w:rPr>
              <w:t>£'000</w:t>
            </w:r>
          </w:p>
        </w:tc>
        <w:tc>
          <w:tcPr>
            <w:tcW w:w="510" w:type="pct"/>
            <w:tcBorders>
              <w:left w:val="nil"/>
              <w:bottom w:val="nil"/>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bCs/>
                <w:color w:val="000000"/>
                <w:sz w:val="18"/>
                <w:szCs w:val="18"/>
              </w:rPr>
            </w:pPr>
            <w:r w:rsidRPr="00AE70E3">
              <w:rPr>
                <w:rFonts w:cs="Arial"/>
                <w:bCs/>
                <w:sz w:val="18"/>
                <w:szCs w:val="18"/>
              </w:rPr>
              <w:t>£'000</w:t>
            </w:r>
          </w:p>
        </w:tc>
        <w:tc>
          <w:tcPr>
            <w:tcW w:w="510" w:type="pct"/>
            <w:tcBorders>
              <w:left w:val="nil"/>
              <w:bottom w:val="nil"/>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bCs/>
                <w:color w:val="000000"/>
                <w:sz w:val="18"/>
                <w:szCs w:val="18"/>
              </w:rPr>
            </w:pPr>
            <w:r w:rsidRPr="00AE70E3">
              <w:rPr>
                <w:rFonts w:cs="Arial"/>
                <w:bCs/>
                <w:sz w:val="18"/>
                <w:szCs w:val="18"/>
              </w:rPr>
              <w:t>£'000</w:t>
            </w:r>
          </w:p>
        </w:tc>
        <w:tc>
          <w:tcPr>
            <w:tcW w:w="511" w:type="pct"/>
            <w:tcBorders>
              <w:left w:val="nil"/>
              <w:bottom w:val="nil"/>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bCs/>
                <w:color w:val="000000"/>
                <w:sz w:val="18"/>
                <w:szCs w:val="18"/>
              </w:rPr>
            </w:pPr>
            <w:r w:rsidRPr="00AE70E3">
              <w:rPr>
                <w:rFonts w:cs="Arial"/>
                <w:bCs/>
                <w:sz w:val="18"/>
                <w:szCs w:val="18"/>
              </w:rPr>
              <w:t>£'000</w:t>
            </w:r>
          </w:p>
        </w:tc>
      </w:tr>
      <w:tr w:rsidR="00A53719" w:rsidRPr="00A76890" w:rsidTr="00562F9C">
        <w:trPr>
          <w:trHeight w:val="20"/>
        </w:trPr>
        <w:tc>
          <w:tcPr>
            <w:tcW w:w="1937" w:type="pct"/>
            <w:tcBorders>
              <w:top w:val="nil"/>
              <w:left w:val="nil"/>
              <w:bottom w:val="nil"/>
              <w:right w:val="nil"/>
            </w:tcBorders>
            <w:shd w:val="clear" w:color="auto" w:fill="auto"/>
            <w:vAlign w:val="center"/>
            <w:hideMark/>
          </w:tcPr>
          <w:p w:rsidR="00A53719" w:rsidRPr="00AE70E3" w:rsidRDefault="00A53719" w:rsidP="00704CC0">
            <w:pPr>
              <w:keepNext/>
              <w:keepLines/>
              <w:tabs>
                <w:tab w:val="left" w:pos="567"/>
                <w:tab w:val="left" w:pos="1134"/>
                <w:tab w:val="left" w:pos="1701"/>
                <w:tab w:val="left" w:pos="2268"/>
              </w:tabs>
              <w:ind w:left="567"/>
              <w:rPr>
                <w:rFonts w:cs="Arial"/>
                <w:color w:val="000000"/>
                <w:sz w:val="18"/>
                <w:szCs w:val="18"/>
              </w:rPr>
            </w:pPr>
            <w:r w:rsidRPr="00AE70E3">
              <w:rPr>
                <w:rFonts w:cs="Arial"/>
                <w:color w:val="000000"/>
                <w:sz w:val="18"/>
                <w:szCs w:val="18"/>
              </w:rPr>
              <w:t>Balance brought forward</w:t>
            </w:r>
          </w:p>
        </w:tc>
        <w:tc>
          <w:tcPr>
            <w:tcW w:w="510" w:type="pct"/>
            <w:tcBorders>
              <w:top w:val="nil"/>
              <w:left w:val="nil"/>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7,391</w:t>
            </w:r>
          </w:p>
        </w:tc>
        <w:tc>
          <w:tcPr>
            <w:tcW w:w="510" w:type="pct"/>
            <w:tcBorders>
              <w:top w:val="nil"/>
              <w:left w:val="nil"/>
              <w:right w:val="nil"/>
            </w:tcBorders>
            <w:shd w:val="clear" w:color="auto" w:fill="auto"/>
            <w:noWrap/>
            <w:vAlign w:val="bottom"/>
            <w:hideMark/>
          </w:tcPr>
          <w:p w:rsidR="00A53719" w:rsidRPr="00AE70E3" w:rsidRDefault="00A53719"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3,004</w:t>
            </w:r>
          </w:p>
        </w:tc>
        <w:tc>
          <w:tcPr>
            <w:tcW w:w="511" w:type="pct"/>
            <w:tcBorders>
              <w:top w:val="nil"/>
              <w:left w:val="nil"/>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10,395</w:t>
            </w:r>
          </w:p>
        </w:tc>
        <w:tc>
          <w:tcPr>
            <w:tcW w:w="510" w:type="pct"/>
            <w:tcBorders>
              <w:top w:val="nil"/>
              <w:left w:val="nil"/>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9,979</w:t>
            </w:r>
          </w:p>
        </w:tc>
        <w:tc>
          <w:tcPr>
            <w:tcW w:w="510" w:type="pct"/>
            <w:tcBorders>
              <w:top w:val="nil"/>
              <w:left w:val="nil"/>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 xml:space="preserve"> -</w:t>
            </w:r>
          </w:p>
        </w:tc>
        <w:tc>
          <w:tcPr>
            <w:tcW w:w="511" w:type="pct"/>
            <w:tcBorders>
              <w:top w:val="nil"/>
              <w:left w:val="nil"/>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9,979</w:t>
            </w:r>
          </w:p>
        </w:tc>
      </w:tr>
      <w:tr w:rsidR="00A53719" w:rsidRPr="00A76890" w:rsidTr="00562F9C">
        <w:trPr>
          <w:trHeight w:val="20"/>
        </w:trPr>
        <w:tc>
          <w:tcPr>
            <w:tcW w:w="1937" w:type="pct"/>
            <w:tcBorders>
              <w:top w:val="nil"/>
              <w:left w:val="nil"/>
              <w:right w:val="nil"/>
            </w:tcBorders>
            <w:shd w:val="clear" w:color="auto" w:fill="auto"/>
            <w:vAlign w:val="center"/>
            <w:hideMark/>
          </w:tcPr>
          <w:p w:rsidR="00A53719" w:rsidRPr="00AE70E3" w:rsidRDefault="00A53719" w:rsidP="00704CC0">
            <w:pPr>
              <w:keepNext/>
              <w:keepLines/>
              <w:tabs>
                <w:tab w:val="left" w:pos="567"/>
                <w:tab w:val="left" w:pos="1134"/>
                <w:tab w:val="left" w:pos="1701"/>
                <w:tab w:val="left" w:pos="2268"/>
              </w:tabs>
              <w:ind w:left="567"/>
              <w:rPr>
                <w:rFonts w:cs="Arial"/>
                <w:color w:val="000000"/>
                <w:sz w:val="18"/>
                <w:szCs w:val="18"/>
              </w:rPr>
            </w:pPr>
            <w:r w:rsidRPr="00AE70E3">
              <w:rPr>
                <w:rFonts w:cs="Arial"/>
                <w:color w:val="000000"/>
                <w:sz w:val="18"/>
                <w:szCs w:val="18"/>
              </w:rPr>
              <w:t>Additions</w:t>
            </w:r>
          </w:p>
        </w:tc>
        <w:tc>
          <w:tcPr>
            <w:tcW w:w="510" w:type="pct"/>
            <w:tcBorders>
              <w:top w:val="nil"/>
              <w:left w:val="nil"/>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 xml:space="preserve"> -</w:t>
            </w:r>
          </w:p>
        </w:tc>
        <w:tc>
          <w:tcPr>
            <w:tcW w:w="510" w:type="pct"/>
            <w:tcBorders>
              <w:top w:val="nil"/>
              <w:left w:val="nil"/>
              <w:right w:val="nil"/>
            </w:tcBorders>
            <w:shd w:val="clear" w:color="auto" w:fill="auto"/>
            <w:noWrap/>
            <w:vAlign w:val="bottom"/>
            <w:hideMark/>
          </w:tcPr>
          <w:p w:rsidR="00A53719" w:rsidRPr="00AE70E3" w:rsidRDefault="00A53719"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 xml:space="preserve"> -</w:t>
            </w:r>
          </w:p>
        </w:tc>
        <w:tc>
          <w:tcPr>
            <w:tcW w:w="511" w:type="pct"/>
            <w:tcBorders>
              <w:top w:val="nil"/>
              <w:left w:val="nil"/>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 xml:space="preserve"> -</w:t>
            </w:r>
          </w:p>
        </w:tc>
        <w:tc>
          <w:tcPr>
            <w:tcW w:w="510" w:type="pct"/>
            <w:tcBorders>
              <w:top w:val="nil"/>
              <w:left w:val="nil"/>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471</w:t>
            </w:r>
          </w:p>
        </w:tc>
        <w:tc>
          <w:tcPr>
            <w:tcW w:w="510" w:type="pct"/>
            <w:tcBorders>
              <w:top w:val="nil"/>
              <w:left w:val="nil"/>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 xml:space="preserve"> -</w:t>
            </w:r>
          </w:p>
        </w:tc>
        <w:tc>
          <w:tcPr>
            <w:tcW w:w="511" w:type="pct"/>
            <w:tcBorders>
              <w:top w:val="nil"/>
              <w:left w:val="nil"/>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471</w:t>
            </w:r>
          </w:p>
        </w:tc>
      </w:tr>
      <w:tr w:rsidR="00A53719" w:rsidRPr="00A76890" w:rsidTr="00562F9C">
        <w:trPr>
          <w:trHeight w:val="20"/>
        </w:trPr>
        <w:tc>
          <w:tcPr>
            <w:tcW w:w="1937" w:type="pct"/>
            <w:tcBorders>
              <w:top w:val="nil"/>
              <w:left w:val="nil"/>
              <w:right w:val="nil"/>
            </w:tcBorders>
            <w:shd w:val="clear" w:color="auto" w:fill="auto"/>
            <w:vAlign w:val="center"/>
          </w:tcPr>
          <w:p w:rsidR="00A53719" w:rsidRPr="00AE70E3" w:rsidRDefault="00A53719" w:rsidP="00704CC0">
            <w:pPr>
              <w:keepNext/>
              <w:keepLines/>
              <w:tabs>
                <w:tab w:val="left" w:pos="567"/>
                <w:tab w:val="left" w:pos="1134"/>
                <w:tab w:val="left" w:pos="1701"/>
                <w:tab w:val="left" w:pos="2268"/>
              </w:tabs>
              <w:ind w:left="567"/>
              <w:rPr>
                <w:rFonts w:cs="Arial"/>
                <w:color w:val="000000"/>
                <w:sz w:val="18"/>
                <w:szCs w:val="18"/>
              </w:rPr>
            </w:pPr>
            <w:r w:rsidRPr="00AE70E3">
              <w:rPr>
                <w:rFonts w:cs="Arial"/>
                <w:color w:val="000000"/>
                <w:sz w:val="18"/>
                <w:szCs w:val="18"/>
              </w:rPr>
              <w:t>Disposal</w:t>
            </w:r>
          </w:p>
        </w:tc>
        <w:tc>
          <w:tcPr>
            <w:tcW w:w="510" w:type="pct"/>
            <w:tcBorders>
              <w:left w:val="nil"/>
              <w:right w:val="nil"/>
            </w:tcBorders>
            <w:shd w:val="clear" w:color="auto" w:fill="auto"/>
            <w:vAlign w:val="bottom"/>
          </w:tcPr>
          <w:p w:rsidR="00A53719" w:rsidRPr="00AE70E3" w:rsidRDefault="00A53719"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w:t>
            </w:r>
          </w:p>
        </w:tc>
        <w:tc>
          <w:tcPr>
            <w:tcW w:w="510" w:type="pct"/>
            <w:tcBorders>
              <w:left w:val="nil"/>
              <w:right w:val="nil"/>
            </w:tcBorders>
            <w:shd w:val="clear" w:color="auto" w:fill="auto"/>
            <w:noWrap/>
            <w:vAlign w:val="bottom"/>
          </w:tcPr>
          <w:p w:rsidR="00A53719" w:rsidRPr="00AE70E3" w:rsidRDefault="00A53719"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(3,004)</w:t>
            </w:r>
          </w:p>
        </w:tc>
        <w:tc>
          <w:tcPr>
            <w:tcW w:w="511" w:type="pct"/>
            <w:tcBorders>
              <w:left w:val="nil"/>
              <w:right w:val="nil"/>
            </w:tcBorders>
            <w:shd w:val="clear" w:color="auto" w:fill="auto"/>
            <w:vAlign w:val="bottom"/>
          </w:tcPr>
          <w:p w:rsidR="00A53719" w:rsidRPr="00AE70E3" w:rsidRDefault="00A53719"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(3,004)</w:t>
            </w:r>
          </w:p>
        </w:tc>
        <w:tc>
          <w:tcPr>
            <w:tcW w:w="510" w:type="pct"/>
            <w:tcBorders>
              <w:left w:val="nil"/>
              <w:right w:val="nil"/>
            </w:tcBorders>
            <w:shd w:val="clear" w:color="auto" w:fill="auto"/>
            <w:vAlign w:val="bottom"/>
          </w:tcPr>
          <w:p w:rsidR="00A53719" w:rsidRPr="00AE70E3" w:rsidRDefault="00A53719"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 xml:space="preserve"> -</w:t>
            </w:r>
          </w:p>
        </w:tc>
        <w:tc>
          <w:tcPr>
            <w:tcW w:w="510" w:type="pct"/>
            <w:tcBorders>
              <w:left w:val="nil"/>
              <w:right w:val="nil"/>
            </w:tcBorders>
            <w:shd w:val="clear" w:color="auto" w:fill="auto"/>
            <w:vAlign w:val="bottom"/>
          </w:tcPr>
          <w:p w:rsidR="00A53719" w:rsidRPr="00AE70E3" w:rsidRDefault="00A53719"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 xml:space="preserve"> -</w:t>
            </w:r>
          </w:p>
        </w:tc>
        <w:tc>
          <w:tcPr>
            <w:tcW w:w="511" w:type="pct"/>
            <w:tcBorders>
              <w:left w:val="nil"/>
              <w:right w:val="nil"/>
            </w:tcBorders>
            <w:shd w:val="clear" w:color="auto" w:fill="auto"/>
            <w:vAlign w:val="bottom"/>
          </w:tcPr>
          <w:p w:rsidR="00A53719" w:rsidRPr="00AE70E3" w:rsidRDefault="00A53719"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 xml:space="preserve"> -</w:t>
            </w:r>
          </w:p>
        </w:tc>
      </w:tr>
      <w:tr w:rsidR="00A53719" w:rsidRPr="00A76890" w:rsidTr="00562F9C">
        <w:trPr>
          <w:trHeight w:val="20"/>
        </w:trPr>
        <w:tc>
          <w:tcPr>
            <w:tcW w:w="1937" w:type="pct"/>
            <w:tcBorders>
              <w:left w:val="nil"/>
              <w:bottom w:val="nil"/>
              <w:right w:val="nil"/>
            </w:tcBorders>
            <w:shd w:val="clear" w:color="auto" w:fill="auto"/>
            <w:vAlign w:val="center"/>
          </w:tcPr>
          <w:p w:rsidR="00A53719" w:rsidRPr="00AE70E3" w:rsidRDefault="00A53719" w:rsidP="00704CC0">
            <w:pPr>
              <w:keepNext/>
              <w:keepLines/>
              <w:tabs>
                <w:tab w:val="left" w:pos="567"/>
                <w:tab w:val="left" w:pos="1134"/>
                <w:tab w:val="left" w:pos="1701"/>
                <w:tab w:val="left" w:pos="2268"/>
              </w:tabs>
              <w:ind w:left="567"/>
              <w:rPr>
                <w:rFonts w:cs="Arial"/>
                <w:color w:val="000000"/>
                <w:sz w:val="18"/>
                <w:szCs w:val="18"/>
              </w:rPr>
            </w:pPr>
            <w:r w:rsidRPr="00AE70E3">
              <w:rPr>
                <w:rFonts w:cs="Arial"/>
                <w:color w:val="000000"/>
                <w:sz w:val="18"/>
                <w:szCs w:val="18"/>
              </w:rPr>
              <w:t>Transfer to current investments</w:t>
            </w:r>
          </w:p>
        </w:tc>
        <w:tc>
          <w:tcPr>
            <w:tcW w:w="510" w:type="pct"/>
            <w:tcBorders>
              <w:left w:val="nil"/>
              <w:bottom w:val="single" w:sz="4" w:space="0" w:color="auto"/>
              <w:right w:val="nil"/>
            </w:tcBorders>
            <w:shd w:val="clear" w:color="auto" w:fill="auto"/>
            <w:vAlign w:val="bottom"/>
          </w:tcPr>
          <w:p w:rsidR="00A53719" w:rsidRPr="00AE70E3" w:rsidRDefault="00A53719"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 xml:space="preserve"> -</w:t>
            </w:r>
          </w:p>
        </w:tc>
        <w:tc>
          <w:tcPr>
            <w:tcW w:w="510" w:type="pct"/>
            <w:tcBorders>
              <w:left w:val="nil"/>
              <w:bottom w:val="single" w:sz="4" w:space="0" w:color="auto"/>
              <w:right w:val="nil"/>
            </w:tcBorders>
            <w:shd w:val="clear" w:color="auto" w:fill="auto"/>
            <w:noWrap/>
            <w:vAlign w:val="bottom"/>
          </w:tcPr>
          <w:p w:rsidR="00A53719" w:rsidRPr="00AE70E3" w:rsidRDefault="00A53719"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 xml:space="preserve"> -</w:t>
            </w:r>
          </w:p>
        </w:tc>
        <w:tc>
          <w:tcPr>
            <w:tcW w:w="511" w:type="pct"/>
            <w:tcBorders>
              <w:left w:val="nil"/>
              <w:bottom w:val="single" w:sz="4" w:space="0" w:color="auto"/>
              <w:right w:val="nil"/>
            </w:tcBorders>
            <w:shd w:val="clear" w:color="auto" w:fill="auto"/>
            <w:vAlign w:val="bottom"/>
          </w:tcPr>
          <w:p w:rsidR="00A53719" w:rsidRPr="00AE70E3" w:rsidRDefault="00A53719"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 xml:space="preserve"> -</w:t>
            </w:r>
          </w:p>
        </w:tc>
        <w:tc>
          <w:tcPr>
            <w:tcW w:w="510" w:type="pct"/>
            <w:tcBorders>
              <w:left w:val="nil"/>
              <w:bottom w:val="single" w:sz="4" w:space="0" w:color="auto"/>
              <w:right w:val="nil"/>
            </w:tcBorders>
            <w:shd w:val="clear" w:color="auto" w:fill="auto"/>
            <w:vAlign w:val="bottom"/>
          </w:tcPr>
          <w:p w:rsidR="00A53719" w:rsidRPr="00AE70E3" w:rsidRDefault="00A53719"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(1,645)</w:t>
            </w:r>
          </w:p>
        </w:tc>
        <w:tc>
          <w:tcPr>
            <w:tcW w:w="510" w:type="pct"/>
            <w:tcBorders>
              <w:left w:val="nil"/>
              <w:bottom w:val="single" w:sz="4" w:space="0" w:color="auto"/>
              <w:right w:val="nil"/>
            </w:tcBorders>
            <w:shd w:val="clear" w:color="auto" w:fill="auto"/>
            <w:vAlign w:val="bottom"/>
          </w:tcPr>
          <w:p w:rsidR="00A53719" w:rsidRPr="00AE70E3" w:rsidRDefault="00A53719"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1,645</w:t>
            </w:r>
          </w:p>
        </w:tc>
        <w:tc>
          <w:tcPr>
            <w:tcW w:w="511" w:type="pct"/>
            <w:tcBorders>
              <w:left w:val="nil"/>
              <w:bottom w:val="single" w:sz="4" w:space="0" w:color="auto"/>
              <w:right w:val="nil"/>
            </w:tcBorders>
            <w:shd w:val="clear" w:color="auto" w:fill="auto"/>
            <w:vAlign w:val="bottom"/>
          </w:tcPr>
          <w:p w:rsidR="00A53719" w:rsidRPr="00AE70E3" w:rsidRDefault="00A53719"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w:t>
            </w:r>
          </w:p>
        </w:tc>
      </w:tr>
      <w:tr w:rsidR="00A53719" w:rsidRPr="00A76890" w:rsidTr="00562F9C">
        <w:trPr>
          <w:trHeight w:val="20"/>
        </w:trPr>
        <w:tc>
          <w:tcPr>
            <w:tcW w:w="1937" w:type="pct"/>
            <w:tcBorders>
              <w:top w:val="nil"/>
              <w:left w:val="nil"/>
              <w:bottom w:val="nil"/>
              <w:right w:val="nil"/>
            </w:tcBorders>
            <w:shd w:val="clear" w:color="auto" w:fill="auto"/>
            <w:vAlign w:val="center"/>
            <w:hideMark/>
          </w:tcPr>
          <w:p w:rsidR="00A53719" w:rsidRPr="00AE70E3" w:rsidRDefault="00A53719" w:rsidP="00704CC0">
            <w:pPr>
              <w:keepNext/>
              <w:keepLines/>
              <w:tabs>
                <w:tab w:val="left" w:pos="567"/>
                <w:tab w:val="left" w:pos="1134"/>
                <w:tab w:val="left" w:pos="1701"/>
                <w:tab w:val="left" w:pos="2268"/>
              </w:tabs>
              <w:ind w:left="567"/>
              <w:rPr>
                <w:rFonts w:cs="Arial"/>
                <w:color w:val="000000"/>
                <w:sz w:val="18"/>
                <w:szCs w:val="18"/>
              </w:rPr>
            </w:pPr>
          </w:p>
        </w:tc>
        <w:tc>
          <w:tcPr>
            <w:tcW w:w="510" w:type="pct"/>
            <w:tcBorders>
              <w:top w:val="single" w:sz="4" w:space="0" w:color="auto"/>
              <w:left w:val="nil"/>
              <w:bottom w:val="single" w:sz="4" w:space="0" w:color="auto"/>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7,391</w:t>
            </w:r>
          </w:p>
        </w:tc>
        <w:tc>
          <w:tcPr>
            <w:tcW w:w="510" w:type="pct"/>
            <w:tcBorders>
              <w:top w:val="single" w:sz="4" w:space="0" w:color="auto"/>
              <w:left w:val="nil"/>
              <w:bottom w:val="single" w:sz="4" w:space="0" w:color="auto"/>
              <w:right w:val="nil"/>
            </w:tcBorders>
            <w:shd w:val="clear" w:color="auto" w:fill="auto"/>
            <w:noWrap/>
            <w:vAlign w:val="bottom"/>
            <w:hideMark/>
          </w:tcPr>
          <w:p w:rsidR="00A53719" w:rsidRPr="00AE70E3" w:rsidRDefault="00A53719"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 xml:space="preserve"> -</w:t>
            </w:r>
          </w:p>
        </w:tc>
        <w:tc>
          <w:tcPr>
            <w:tcW w:w="511" w:type="pct"/>
            <w:tcBorders>
              <w:top w:val="single" w:sz="4" w:space="0" w:color="auto"/>
              <w:left w:val="nil"/>
              <w:bottom w:val="single" w:sz="4" w:space="0" w:color="auto"/>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7,391</w:t>
            </w:r>
          </w:p>
        </w:tc>
        <w:tc>
          <w:tcPr>
            <w:tcW w:w="510" w:type="pct"/>
            <w:tcBorders>
              <w:top w:val="single" w:sz="4" w:space="0" w:color="auto"/>
              <w:left w:val="nil"/>
              <w:bottom w:val="single" w:sz="4" w:space="0" w:color="auto"/>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8,805</w:t>
            </w:r>
          </w:p>
        </w:tc>
        <w:tc>
          <w:tcPr>
            <w:tcW w:w="510" w:type="pct"/>
            <w:tcBorders>
              <w:top w:val="single" w:sz="4" w:space="0" w:color="auto"/>
              <w:left w:val="nil"/>
              <w:bottom w:val="single" w:sz="4" w:space="0" w:color="auto"/>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1,645</w:t>
            </w:r>
          </w:p>
        </w:tc>
        <w:tc>
          <w:tcPr>
            <w:tcW w:w="511" w:type="pct"/>
            <w:tcBorders>
              <w:top w:val="single" w:sz="4" w:space="0" w:color="auto"/>
              <w:left w:val="nil"/>
              <w:bottom w:val="single" w:sz="4" w:space="0" w:color="auto"/>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10,450</w:t>
            </w:r>
          </w:p>
        </w:tc>
      </w:tr>
      <w:tr w:rsidR="00A53719" w:rsidRPr="00A76890" w:rsidTr="00562F9C">
        <w:trPr>
          <w:trHeight w:val="20"/>
        </w:trPr>
        <w:tc>
          <w:tcPr>
            <w:tcW w:w="1937" w:type="pct"/>
            <w:tcBorders>
              <w:top w:val="nil"/>
              <w:left w:val="nil"/>
              <w:bottom w:val="nil"/>
              <w:right w:val="nil"/>
            </w:tcBorders>
            <w:shd w:val="clear" w:color="auto" w:fill="auto"/>
            <w:vAlign w:val="center"/>
            <w:hideMark/>
          </w:tcPr>
          <w:p w:rsidR="00A53719" w:rsidRPr="00AE70E3" w:rsidRDefault="00A53719" w:rsidP="00704CC0">
            <w:pPr>
              <w:keepNext/>
              <w:keepLines/>
              <w:tabs>
                <w:tab w:val="left" w:pos="567"/>
                <w:tab w:val="left" w:pos="1134"/>
                <w:tab w:val="left" w:pos="1701"/>
                <w:tab w:val="left" w:pos="2268"/>
              </w:tabs>
              <w:ind w:left="567"/>
              <w:rPr>
                <w:rFonts w:cs="Arial"/>
                <w:color w:val="000000"/>
                <w:sz w:val="18"/>
                <w:szCs w:val="18"/>
              </w:rPr>
            </w:pPr>
            <w:proofErr w:type="spellStart"/>
            <w:r w:rsidRPr="00AE70E3">
              <w:rPr>
                <w:rFonts w:cs="Arial"/>
                <w:color w:val="000000"/>
                <w:sz w:val="18"/>
                <w:szCs w:val="18"/>
              </w:rPr>
              <w:t>Unrealised</w:t>
            </w:r>
            <w:proofErr w:type="spellEnd"/>
            <w:r w:rsidRPr="00AE70E3">
              <w:rPr>
                <w:rFonts w:cs="Arial"/>
                <w:color w:val="000000"/>
                <w:sz w:val="18"/>
                <w:szCs w:val="18"/>
              </w:rPr>
              <w:t xml:space="preserve"> (loss)</w:t>
            </w:r>
          </w:p>
        </w:tc>
        <w:tc>
          <w:tcPr>
            <w:tcW w:w="510" w:type="pct"/>
            <w:tcBorders>
              <w:top w:val="single" w:sz="4" w:space="0" w:color="auto"/>
              <w:left w:val="nil"/>
              <w:bottom w:val="single" w:sz="4" w:space="0" w:color="auto"/>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(2,516)</w:t>
            </w:r>
          </w:p>
        </w:tc>
        <w:tc>
          <w:tcPr>
            <w:tcW w:w="510" w:type="pct"/>
            <w:tcBorders>
              <w:top w:val="single" w:sz="4" w:space="0" w:color="auto"/>
              <w:left w:val="nil"/>
              <w:bottom w:val="single" w:sz="4" w:space="0" w:color="auto"/>
              <w:right w:val="nil"/>
            </w:tcBorders>
            <w:shd w:val="clear" w:color="auto" w:fill="auto"/>
            <w:noWrap/>
            <w:vAlign w:val="bottom"/>
            <w:hideMark/>
          </w:tcPr>
          <w:p w:rsidR="00A53719" w:rsidRPr="00AE70E3" w:rsidRDefault="00A53719"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w:t>
            </w:r>
          </w:p>
        </w:tc>
        <w:tc>
          <w:tcPr>
            <w:tcW w:w="511" w:type="pct"/>
            <w:tcBorders>
              <w:top w:val="single" w:sz="4" w:space="0" w:color="auto"/>
              <w:left w:val="nil"/>
              <w:bottom w:val="single" w:sz="4" w:space="0" w:color="auto"/>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(2,516)</w:t>
            </w:r>
          </w:p>
        </w:tc>
        <w:tc>
          <w:tcPr>
            <w:tcW w:w="510" w:type="pct"/>
            <w:tcBorders>
              <w:top w:val="single" w:sz="4" w:space="0" w:color="auto"/>
              <w:left w:val="nil"/>
              <w:bottom w:val="single" w:sz="4" w:space="0" w:color="auto"/>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(1,414)</w:t>
            </w:r>
          </w:p>
        </w:tc>
        <w:tc>
          <w:tcPr>
            <w:tcW w:w="510" w:type="pct"/>
            <w:tcBorders>
              <w:top w:val="single" w:sz="4" w:space="0" w:color="auto"/>
              <w:left w:val="nil"/>
              <w:bottom w:val="single" w:sz="4" w:space="0" w:color="auto"/>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1,359</w:t>
            </w:r>
          </w:p>
        </w:tc>
        <w:tc>
          <w:tcPr>
            <w:tcW w:w="511" w:type="pct"/>
            <w:tcBorders>
              <w:top w:val="single" w:sz="4" w:space="0" w:color="auto"/>
              <w:left w:val="nil"/>
              <w:bottom w:val="single" w:sz="4" w:space="0" w:color="auto"/>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color w:val="000000"/>
                <w:sz w:val="18"/>
                <w:szCs w:val="18"/>
              </w:rPr>
            </w:pPr>
            <w:r w:rsidRPr="00AE70E3">
              <w:rPr>
                <w:rFonts w:cs="Arial"/>
                <w:color w:val="000000"/>
                <w:sz w:val="18"/>
                <w:szCs w:val="18"/>
              </w:rPr>
              <w:t>(55)</w:t>
            </w:r>
          </w:p>
        </w:tc>
      </w:tr>
      <w:tr w:rsidR="00A53719" w:rsidRPr="00A76890" w:rsidTr="00562F9C">
        <w:trPr>
          <w:trHeight w:val="20"/>
        </w:trPr>
        <w:tc>
          <w:tcPr>
            <w:tcW w:w="1937" w:type="pct"/>
            <w:tcBorders>
              <w:top w:val="nil"/>
              <w:left w:val="nil"/>
              <w:bottom w:val="nil"/>
              <w:right w:val="nil"/>
            </w:tcBorders>
            <w:shd w:val="clear" w:color="auto" w:fill="auto"/>
            <w:vAlign w:val="center"/>
            <w:hideMark/>
          </w:tcPr>
          <w:p w:rsidR="00A53719" w:rsidRPr="00AE70E3" w:rsidRDefault="00A53719" w:rsidP="00704CC0">
            <w:pPr>
              <w:keepNext/>
              <w:keepLines/>
              <w:tabs>
                <w:tab w:val="left" w:pos="567"/>
                <w:tab w:val="left" w:pos="1134"/>
                <w:tab w:val="left" w:pos="1701"/>
                <w:tab w:val="left" w:pos="2268"/>
              </w:tabs>
              <w:ind w:left="567"/>
              <w:rPr>
                <w:rFonts w:cs="Arial"/>
                <w:b/>
                <w:bCs/>
                <w:color w:val="000000"/>
                <w:sz w:val="18"/>
                <w:szCs w:val="18"/>
              </w:rPr>
            </w:pPr>
            <w:r w:rsidRPr="00AE70E3">
              <w:rPr>
                <w:rFonts w:cs="Arial"/>
                <w:b/>
                <w:bCs/>
                <w:color w:val="000000"/>
                <w:sz w:val="18"/>
                <w:szCs w:val="18"/>
              </w:rPr>
              <w:t>B</w:t>
            </w:r>
          </w:p>
        </w:tc>
        <w:tc>
          <w:tcPr>
            <w:tcW w:w="510" w:type="pct"/>
            <w:tcBorders>
              <w:top w:val="single" w:sz="4" w:space="0" w:color="auto"/>
              <w:left w:val="nil"/>
              <w:bottom w:val="single" w:sz="4" w:space="0" w:color="auto"/>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b/>
                <w:bCs/>
                <w:color w:val="000000"/>
                <w:sz w:val="18"/>
                <w:szCs w:val="18"/>
              </w:rPr>
            </w:pPr>
            <w:r w:rsidRPr="00AE70E3">
              <w:rPr>
                <w:rFonts w:cs="Arial"/>
                <w:b/>
                <w:bCs/>
                <w:color w:val="000000"/>
                <w:sz w:val="18"/>
                <w:szCs w:val="18"/>
              </w:rPr>
              <w:t>4,875</w:t>
            </w:r>
          </w:p>
        </w:tc>
        <w:tc>
          <w:tcPr>
            <w:tcW w:w="510" w:type="pct"/>
            <w:tcBorders>
              <w:top w:val="single" w:sz="4" w:space="0" w:color="auto"/>
              <w:left w:val="nil"/>
              <w:bottom w:val="single" w:sz="4" w:space="0" w:color="auto"/>
              <w:right w:val="nil"/>
            </w:tcBorders>
            <w:shd w:val="clear" w:color="auto" w:fill="auto"/>
            <w:noWrap/>
            <w:vAlign w:val="bottom"/>
            <w:hideMark/>
          </w:tcPr>
          <w:p w:rsidR="00A53719" w:rsidRPr="00AE70E3" w:rsidRDefault="00A53719" w:rsidP="00704CC0">
            <w:pPr>
              <w:keepNext/>
              <w:keepLines/>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w:t>
            </w:r>
          </w:p>
        </w:tc>
        <w:tc>
          <w:tcPr>
            <w:tcW w:w="511" w:type="pct"/>
            <w:tcBorders>
              <w:top w:val="single" w:sz="4" w:space="0" w:color="auto"/>
              <w:left w:val="nil"/>
              <w:bottom w:val="single" w:sz="4" w:space="0" w:color="auto"/>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b/>
                <w:bCs/>
                <w:color w:val="000000"/>
                <w:sz w:val="18"/>
                <w:szCs w:val="18"/>
              </w:rPr>
            </w:pPr>
            <w:r w:rsidRPr="00AE70E3">
              <w:rPr>
                <w:rFonts w:cs="Arial"/>
                <w:b/>
                <w:bCs/>
                <w:color w:val="000000"/>
                <w:sz w:val="18"/>
                <w:szCs w:val="18"/>
              </w:rPr>
              <w:t>4,875</w:t>
            </w:r>
          </w:p>
        </w:tc>
        <w:tc>
          <w:tcPr>
            <w:tcW w:w="510" w:type="pct"/>
            <w:tcBorders>
              <w:top w:val="single" w:sz="4" w:space="0" w:color="auto"/>
              <w:left w:val="nil"/>
              <w:bottom w:val="single" w:sz="4" w:space="0" w:color="auto"/>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bCs/>
                <w:color w:val="000000"/>
                <w:sz w:val="18"/>
                <w:szCs w:val="18"/>
              </w:rPr>
            </w:pPr>
            <w:r w:rsidRPr="00AE70E3">
              <w:rPr>
                <w:rFonts w:cs="Arial"/>
                <w:bCs/>
                <w:color w:val="000000"/>
                <w:sz w:val="18"/>
                <w:szCs w:val="18"/>
              </w:rPr>
              <w:t>7,391</w:t>
            </w:r>
          </w:p>
        </w:tc>
        <w:tc>
          <w:tcPr>
            <w:tcW w:w="510" w:type="pct"/>
            <w:tcBorders>
              <w:top w:val="single" w:sz="4" w:space="0" w:color="auto"/>
              <w:left w:val="nil"/>
              <w:bottom w:val="single" w:sz="4" w:space="0" w:color="auto"/>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color w:val="000000"/>
                <w:sz w:val="18"/>
                <w:szCs w:val="18"/>
              </w:rPr>
            </w:pPr>
            <w:r w:rsidRPr="00AE70E3">
              <w:rPr>
                <w:rFonts w:cs="Arial"/>
                <w:bCs/>
                <w:color w:val="000000"/>
                <w:sz w:val="18"/>
                <w:szCs w:val="18"/>
              </w:rPr>
              <w:t>3,004</w:t>
            </w:r>
          </w:p>
        </w:tc>
        <w:tc>
          <w:tcPr>
            <w:tcW w:w="511" w:type="pct"/>
            <w:tcBorders>
              <w:top w:val="single" w:sz="4" w:space="0" w:color="auto"/>
              <w:left w:val="nil"/>
              <w:bottom w:val="single" w:sz="4" w:space="0" w:color="auto"/>
              <w:right w:val="nil"/>
            </w:tcBorders>
            <w:shd w:val="clear" w:color="auto" w:fill="auto"/>
            <w:vAlign w:val="bottom"/>
            <w:hideMark/>
          </w:tcPr>
          <w:p w:rsidR="00A53719" w:rsidRPr="00AE70E3" w:rsidRDefault="00A53719" w:rsidP="00704CC0">
            <w:pPr>
              <w:keepNext/>
              <w:keepLines/>
              <w:tabs>
                <w:tab w:val="left" w:pos="567"/>
                <w:tab w:val="left" w:pos="1134"/>
                <w:tab w:val="left" w:pos="1701"/>
                <w:tab w:val="left" w:pos="2268"/>
              </w:tabs>
              <w:jc w:val="right"/>
              <w:rPr>
                <w:rFonts w:cs="Arial"/>
                <w:bCs/>
                <w:color w:val="000000"/>
                <w:sz w:val="18"/>
                <w:szCs w:val="18"/>
              </w:rPr>
            </w:pPr>
            <w:r w:rsidRPr="00AE70E3">
              <w:rPr>
                <w:rFonts w:cs="Arial"/>
                <w:bCs/>
                <w:color w:val="000000"/>
                <w:sz w:val="18"/>
                <w:szCs w:val="18"/>
              </w:rPr>
              <w:t>10,395</w:t>
            </w:r>
          </w:p>
        </w:tc>
      </w:tr>
      <w:tr w:rsidR="00A53719" w:rsidRPr="00A76890" w:rsidTr="00562F9C">
        <w:trPr>
          <w:trHeight w:val="20"/>
        </w:trPr>
        <w:tc>
          <w:tcPr>
            <w:tcW w:w="1937" w:type="pct"/>
            <w:tcBorders>
              <w:top w:val="nil"/>
              <w:left w:val="nil"/>
              <w:bottom w:val="nil"/>
              <w:right w:val="nil"/>
            </w:tcBorders>
            <w:shd w:val="clear" w:color="auto" w:fill="auto"/>
            <w:vAlign w:val="center"/>
            <w:hideMark/>
          </w:tcPr>
          <w:p w:rsidR="00A53719" w:rsidRPr="00AE70E3" w:rsidRDefault="00A53719" w:rsidP="00704CC0">
            <w:pPr>
              <w:tabs>
                <w:tab w:val="left" w:pos="567"/>
                <w:tab w:val="left" w:pos="1134"/>
                <w:tab w:val="left" w:pos="1701"/>
                <w:tab w:val="left" w:pos="2268"/>
              </w:tabs>
              <w:ind w:left="567"/>
              <w:rPr>
                <w:rFonts w:cs="Arial"/>
                <w:b/>
                <w:bCs/>
                <w:color w:val="000000"/>
                <w:sz w:val="18"/>
                <w:szCs w:val="18"/>
              </w:rPr>
            </w:pPr>
            <w:r w:rsidRPr="00AE70E3">
              <w:rPr>
                <w:rFonts w:cs="Arial"/>
                <w:b/>
                <w:bCs/>
                <w:color w:val="000000"/>
                <w:sz w:val="18"/>
                <w:szCs w:val="18"/>
              </w:rPr>
              <w:t>Total investments (A+B)</w:t>
            </w:r>
          </w:p>
        </w:tc>
        <w:tc>
          <w:tcPr>
            <w:tcW w:w="510" w:type="pct"/>
            <w:tcBorders>
              <w:top w:val="single" w:sz="4" w:space="0" w:color="auto"/>
              <w:left w:val="nil"/>
              <w:bottom w:val="single" w:sz="4" w:space="0" w:color="auto"/>
              <w:right w:val="nil"/>
            </w:tcBorders>
            <w:shd w:val="clear" w:color="auto" w:fill="auto"/>
            <w:vAlign w:val="bottom"/>
            <w:hideMark/>
          </w:tcPr>
          <w:p w:rsidR="00A53719" w:rsidRPr="00AE70E3" w:rsidRDefault="00A53719" w:rsidP="00704CC0">
            <w:pPr>
              <w:tabs>
                <w:tab w:val="left" w:pos="567"/>
                <w:tab w:val="left" w:pos="1134"/>
                <w:tab w:val="left" w:pos="1701"/>
                <w:tab w:val="left" w:pos="2268"/>
              </w:tabs>
              <w:jc w:val="right"/>
              <w:rPr>
                <w:rFonts w:cs="Arial"/>
                <w:b/>
                <w:bCs/>
                <w:color w:val="000000"/>
                <w:sz w:val="18"/>
                <w:szCs w:val="18"/>
              </w:rPr>
            </w:pPr>
            <w:r w:rsidRPr="00AE70E3">
              <w:rPr>
                <w:rFonts w:cs="Arial"/>
                <w:b/>
                <w:bCs/>
                <w:color w:val="000000"/>
                <w:sz w:val="18"/>
                <w:szCs w:val="18"/>
              </w:rPr>
              <w:t>4,875</w:t>
            </w:r>
          </w:p>
        </w:tc>
        <w:tc>
          <w:tcPr>
            <w:tcW w:w="510" w:type="pct"/>
            <w:tcBorders>
              <w:top w:val="single" w:sz="4" w:space="0" w:color="auto"/>
              <w:left w:val="nil"/>
              <w:bottom w:val="single" w:sz="4" w:space="0" w:color="auto"/>
              <w:right w:val="nil"/>
            </w:tcBorders>
            <w:shd w:val="clear" w:color="auto" w:fill="auto"/>
            <w:noWrap/>
            <w:vAlign w:val="bottom"/>
            <w:hideMark/>
          </w:tcPr>
          <w:p w:rsidR="00A53719" w:rsidRPr="00AE70E3" w:rsidRDefault="00A53719" w:rsidP="00704CC0">
            <w:pPr>
              <w:tabs>
                <w:tab w:val="left" w:pos="567"/>
                <w:tab w:val="left" w:pos="1134"/>
                <w:tab w:val="left" w:pos="1701"/>
                <w:tab w:val="left" w:pos="2268"/>
              </w:tabs>
              <w:jc w:val="right"/>
              <w:rPr>
                <w:rFonts w:cs="Arial"/>
                <w:b/>
                <w:color w:val="000000"/>
                <w:sz w:val="18"/>
                <w:szCs w:val="18"/>
              </w:rPr>
            </w:pPr>
            <w:r w:rsidRPr="00AE70E3">
              <w:rPr>
                <w:rFonts w:cs="Arial"/>
                <w:b/>
                <w:color w:val="000000"/>
                <w:sz w:val="18"/>
                <w:szCs w:val="18"/>
              </w:rPr>
              <w:t>1,875</w:t>
            </w:r>
          </w:p>
        </w:tc>
        <w:tc>
          <w:tcPr>
            <w:tcW w:w="511" w:type="pct"/>
            <w:tcBorders>
              <w:top w:val="single" w:sz="4" w:space="0" w:color="auto"/>
              <w:left w:val="nil"/>
              <w:bottom w:val="single" w:sz="4" w:space="0" w:color="auto"/>
              <w:right w:val="nil"/>
            </w:tcBorders>
            <w:shd w:val="clear" w:color="auto" w:fill="auto"/>
            <w:vAlign w:val="bottom"/>
            <w:hideMark/>
          </w:tcPr>
          <w:p w:rsidR="00A53719" w:rsidRPr="00AE70E3" w:rsidRDefault="00A53719" w:rsidP="00704CC0">
            <w:pPr>
              <w:tabs>
                <w:tab w:val="left" w:pos="567"/>
                <w:tab w:val="left" w:pos="1134"/>
                <w:tab w:val="left" w:pos="1701"/>
                <w:tab w:val="left" w:pos="2268"/>
              </w:tabs>
              <w:jc w:val="right"/>
              <w:rPr>
                <w:rFonts w:cs="Arial"/>
                <w:b/>
                <w:bCs/>
                <w:color w:val="000000"/>
                <w:sz w:val="18"/>
                <w:szCs w:val="18"/>
              </w:rPr>
            </w:pPr>
            <w:r w:rsidRPr="00AE70E3">
              <w:rPr>
                <w:rFonts w:cs="Arial"/>
                <w:b/>
                <w:bCs/>
                <w:color w:val="000000"/>
                <w:sz w:val="18"/>
                <w:szCs w:val="18"/>
              </w:rPr>
              <w:t>6,750</w:t>
            </w:r>
          </w:p>
        </w:tc>
        <w:tc>
          <w:tcPr>
            <w:tcW w:w="510" w:type="pct"/>
            <w:tcBorders>
              <w:top w:val="single" w:sz="4" w:space="0" w:color="auto"/>
              <w:left w:val="nil"/>
              <w:bottom w:val="single" w:sz="4" w:space="0" w:color="auto"/>
              <w:right w:val="nil"/>
            </w:tcBorders>
            <w:shd w:val="clear" w:color="auto" w:fill="auto"/>
            <w:vAlign w:val="bottom"/>
            <w:hideMark/>
          </w:tcPr>
          <w:p w:rsidR="00A53719" w:rsidRPr="00AE70E3" w:rsidRDefault="00A53719" w:rsidP="00704CC0">
            <w:pPr>
              <w:tabs>
                <w:tab w:val="left" w:pos="567"/>
                <w:tab w:val="left" w:pos="1134"/>
                <w:tab w:val="left" w:pos="1701"/>
                <w:tab w:val="left" w:pos="2268"/>
              </w:tabs>
              <w:jc w:val="right"/>
              <w:rPr>
                <w:rFonts w:cs="Arial"/>
                <w:bCs/>
                <w:color w:val="000000"/>
                <w:sz w:val="18"/>
                <w:szCs w:val="18"/>
              </w:rPr>
            </w:pPr>
            <w:r w:rsidRPr="00AE70E3">
              <w:rPr>
                <w:rFonts w:cs="Arial"/>
                <w:bCs/>
                <w:color w:val="000000"/>
                <w:sz w:val="18"/>
                <w:szCs w:val="18"/>
              </w:rPr>
              <w:t>7,391</w:t>
            </w:r>
          </w:p>
        </w:tc>
        <w:tc>
          <w:tcPr>
            <w:tcW w:w="510" w:type="pct"/>
            <w:tcBorders>
              <w:top w:val="single" w:sz="4" w:space="0" w:color="auto"/>
              <w:left w:val="nil"/>
              <w:bottom w:val="single" w:sz="4" w:space="0" w:color="auto"/>
              <w:right w:val="nil"/>
            </w:tcBorders>
            <w:shd w:val="clear" w:color="auto" w:fill="auto"/>
            <w:vAlign w:val="bottom"/>
            <w:hideMark/>
          </w:tcPr>
          <w:p w:rsidR="00A53719" w:rsidRPr="00AE70E3" w:rsidRDefault="00A53719" w:rsidP="00704CC0">
            <w:pPr>
              <w:tabs>
                <w:tab w:val="left" w:pos="567"/>
                <w:tab w:val="left" w:pos="1134"/>
                <w:tab w:val="left" w:pos="1701"/>
                <w:tab w:val="left" w:pos="2268"/>
              </w:tabs>
              <w:jc w:val="right"/>
              <w:rPr>
                <w:rFonts w:cs="Arial"/>
                <w:color w:val="000000"/>
                <w:sz w:val="18"/>
                <w:szCs w:val="18"/>
              </w:rPr>
            </w:pPr>
            <w:r w:rsidRPr="00AE70E3">
              <w:rPr>
                <w:rFonts w:cs="Arial"/>
                <w:bCs/>
                <w:color w:val="000000"/>
                <w:sz w:val="18"/>
                <w:szCs w:val="18"/>
              </w:rPr>
              <w:t>10,084</w:t>
            </w:r>
          </w:p>
        </w:tc>
        <w:tc>
          <w:tcPr>
            <w:tcW w:w="511" w:type="pct"/>
            <w:tcBorders>
              <w:top w:val="single" w:sz="4" w:space="0" w:color="auto"/>
              <w:left w:val="nil"/>
              <w:bottom w:val="single" w:sz="4" w:space="0" w:color="auto"/>
              <w:right w:val="nil"/>
            </w:tcBorders>
            <w:shd w:val="clear" w:color="auto" w:fill="auto"/>
            <w:vAlign w:val="bottom"/>
            <w:hideMark/>
          </w:tcPr>
          <w:p w:rsidR="00A53719" w:rsidRPr="00AE70E3" w:rsidRDefault="00A53719" w:rsidP="00704CC0">
            <w:pPr>
              <w:tabs>
                <w:tab w:val="left" w:pos="567"/>
                <w:tab w:val="left" w:pos="1134"/>
                <w:tab w:val="left" w:pos="1701"/>
                <w:tab w:val="left" w:pos="2268"/>
              </w:tabs>
              <w:jc w:val="right"/>
              <w:rPr>
                <w:rFonts w:cs="Arial"/>
                <w:bCs/>
                <w:color w:val="000000"/>
                <w:sz w:val="18"/>
                <w:szCs w:val="18"/>
              </w:rPr>
            </w:pPr>
            <w:r w:rsidRPr="00AE70E3">
              <w:rPr>
                <w:rFonts w:cs="Arial"/>
                <w:bCs/>
                <w:color w:val="000000"/>
                <w:sz w:val="18"/>
                <w:szCs w:val="18"/>
              </w:rPr>
              <w:t>17,475</w:t>
            </w:r>
          </w:p>
        </w:tc>
      </w:tr>
    </w:tbl>
    <w:p w:rsidR="00863596" w:rsidRPr="006F7F73" w:rsidRDefault="0092140F" w:rsidP="00704CC0">
      <w:pPr>
        <w:keepNext/>
        <w:keepLines/>
        <w:numPr>
          <w:ilvl w:val="0"/>
          <w:numId w:val="4"/>
        </w:numPr>
        <w:tabs>
          <w:tab w:val="clear" w:pos="810"/>
          <w:tab w:val="left" w:pos="567"/>
          <w:tab w:val="left" w:pos="1134"/>
          <w:tab w:val="left" w:pos="1701"/>
          <w:tab w:val="left" w:pos="2268"/>
        </w:tabs>
        <w:spacing w:before="240" w:after="120"/>
        <w:ind w:left="567" w:hanging="567"/>
        <w:rPr>
          <w:rFonts w:cs="Arial"/>
          <w:b/>
        </w:rPr>
      </w:pPr>
      <w:r w:rsidRPr="006F7F73">
        <w:rPr>
          <w:rFonts w:cs="Arial"/>
          <w:b/>
        </w:rPr>
        <w:t>Receivables</w:t>
      </w:r>
    </w:p>
    <w:tbl>
      <w:tblPr>
        <w:tblW w:w="8953" w:type="dxa"/>
        <w:tblLayout w:type="fixed"/>
        <w:tblCellMar>
          <w:top w:w="28" w:type="dxa"/>
          <w:left w:w="57" w:type="dxa"/>
          <w:bottom w:w="28" w:type="dxa"/>
          <w:right w:w="57" w:type="dxa"/>
        </w:tblCellMar>
        <w:tblLook w:val="0000"/>
      </w:tblPr>
      <w:tblGrid>
        <w:gridCol w:w="4194"/>
        <w:gridCol w:w="1239"/>
        <w:gridCol w:w="1289"/>
        <w:gridCol w:w="1001"/>
        <w:gridCol w:w="1230"/>
      </w:tblGrid>
      <w:tr w:rsidR="006F7F73" w:rsidRPr="00A76890" w:rsidTr="00562F9C">
        <w:trPr>
          <w:cantSplit/>
          <w:trHeight w:val="20"/>
        </w:trPr>
        <w:tc>
          <w:tcPr>
            <w:tcW w:w="2342" w:type="pct"/>
            <w:tcBorders>
              <w:top w:val="nil"/>
              <w:left w:val="nil"/>
              <w:right w:val="nil"/>
            </w:tcBorders>
            <w:shd w:val="clear" w:color="auto" w:fill="auto"/>
            <w:noWrap/>
            <w:vAlign w:val="bottom"/>
          </w:tcPr>
          <w:p w:rsidR="006F7F73" w:rsidRPr="006F7F73" w:rsidRDefault="006F7F73" w:rsidP="00704CC0">
            <w:pPr>
              <w:keepNext/>
              <w:keepLines/>
              <w:tabs>
                <w:tab w:val="left" w:pos="567"/>
                <w:tab w:val="left" w:pos="1134"/>
                <w:tab w:val="left" w:pos="1701"/>
                <w:tab w:val="left" w:pos="2268"/>
              </w:tabs>
              <w:ind w:left="567"/>
              <w:rPr>
                <w:rFonts w:cs="Arial"/>
                <w:b/>
                <w:sz w:val="18"/>
                <w:szCs w:val="18"/>
              </w:rPr>
            </w:pPr>
          </w:p>
        </w:tc>
        <w:tc>
          <w:tcPr>
            <w:tcW w:w="692" w:type="pct"/>
            <w:tcBorders>
              <w:top w:val="nil"/>
              <w:left w:val="nil"/>
              <w:right w:val="nil"/>
            </w:tcBorders>
            <w:shd w:val="clear" w:color="auto" w:fill="auto"/>
            <w:noWrap/>
            <w:vAlign w:val="bottom"/>
          </w:tcPr>
          <w:p w:rsidR="006F7F73" w:rsidRPr="006F7F73" w:rsidRDefault="006F7F73" w:rsidP="00704CC0">
            <w:pPr>
              <w:keepNext/>
              <w:keepLines/>
              <w:tabs>
                <w:tab w:val="left" w:pos="567"/>
                <w:tab w:val="left" w:pos="1134"/>
                <w:tab w:val="left" w:pos="1701"/>
                <w:tab w:val="left" w:pos="2268"/>
              </w:tabs>
              <w:jc w:val="right"/>
              <w:rPr>
                <w:rFonts w:cs="Arial"/>
                <w:b/>
                <w:sz w:val="18"/>
                <w:szCs w:val="18"/>
              </w:rPr>
            </w:pPr>
            <w:r w:rsidRPr="006F7F73">
              <w:rPr>
                <w:rFonts w:cs="Arial"/>
                <w:b/>
                <w:sz w:val="18"/>
                <w:szCs w:val="18"/>
              </w:rPr>
              <w:t>Group</w:t>
            </w:r>
          </w:p>
          <w:p w:rsidR="006F7F73" w:rsidRPr="006F7F73" w:rsidRDefault="006F7F73" w:rsidP="00704CC0">
            <w:pPr>
              <w:keepNext/>
              <w:keepLines/>
              <w:tabs>
                <w:tab w:val="left" w:pos="567"/>
                <w:tab w:val="left" w:pos="1134"/>
                <w:tab w:val="left" w:pos="1701"/>
                <w:tab w:val="left" w:pos="2268"/>
              </w:tabs>
              <w:jc w:val="right"/>
              <w:rPr>
                <w:rFonts w:cs="Arial"/>
                <w:b/>
                <w:sz w:val="18"/>
                <w:szCs w:val="18"/>
              </w:rPr>
            </w:pPr>
            <w:r w:rsidRPr="006F7F73">
              <w:rPr>
                <w:rFonts w:cs="Arial"/>
                <w:b/>
                <w:sz w:val="18"/>
                <w:szCs w:val="18"/>
              </w:rPr>
              <w:t>2013</w:t>
            </w:r>
          </w:p>
          <w:p w:rsidR="006F7F73" w:rsidRPr="006F7F73" w:rsidRDefault="006F7F73" w:rsidP="00704CC0">
            <w:pPr>
              <w:keepNext/>
              <w:keepLines/>
              <w:tabs>
                <w:tab w:val="left" w:pos="567"/>
                <w:tab w:val="left" w:pos="1134"/>
                <w:tab w:val="left" w:pos="1701"/>
                <w:tab w:val="left" w:pos="2268"/>
              </w:tabs>
              <w:jc w:val="right"/>
              <w:rPr>
                <w:rFonts w:cs="Arial"/>
                <w:b/>
                <w:sz w:val="18"/>
                <w:szCs w:val="18"/>
              </w:rPr>
            </w:pPr>
            <w:r w:rsidRPr="006F7F73">
              <w:rPr>
                <w:rFonts w:cs="Arial"/>
                <w:b/>
                <w:bCs/>
                <w:sz w:val="18"/>
                <w:szCs w:val="18"/>
              </w:rPr>
              <w:t>£'000</w:t>
            </w:r>
          </w:p>
        </w:tc>
        <w:tc>
          <w:tcPr>
            <w:tcW w:w="720" w:type="pct"/>
            <w:tcBorders>
              <w:top w:val="nil"/>
              <w:left w:val="nil"/>
              <w:right w:val="nil"/>
            </w:tcBorders>
            <w:shd w:val="clear" w:color="auto" w:fill="auto"/>
            <w:noWrap/>
            <w:vAlign w:val="bottom"/>
          </w:tcPr>
          <w:p w:rsidR="006F7F73" w:rsidRPr="006F7F73" w:rsidRDefault="006F7F73" w:rsidP="00704CC0">
            <w:pPr>
              <w:keepNext/>
              <w:keepLines/>
              <w:tabs>
                <w:tab w:val="left" w:pos="567"/>
                <w:tab w:val="left" w:pos="1134"/>
                <w:tab w:val="left" w:pos="1701"/>
                <w:tab w:val="left" w:pos="2268"/>
              </w:tabs>
              <w:jc w:val="right"/>
              <w:rPr>
                <w:rFonts w:cs="Arial"/>
                <w:b/>
                <w:sz w:val="18"/>
                <w:szCs w:val="18"/>
              </w:rPr>
            </w:pPr>
            <w:r w:rsidRPr="006F7F73">
              <w:rPr>
                <w:rFonts w:cs="Arial"/>
                <w:b/>
                <w:sz w:val="18"/>
                <w:szCs w:val="18"/>
              </w:rPr>
              <w:t>Company</w:t>
            </w:r>
          </w:p>
          <w:p w:rsidR="006F7F73" w:rsidRPr="006F7F73" w:rsidRDefault="006F7F73" w:rsidP="00704CC0">
            <w:pPr>
              <w:keepNext/>
              <w:keepLines/>
              <w:tabs>
                <w:tab w:val="left" w:pos="567"/>
                <w:tab w:val="left" w:pos="1134"/>
                <w:tab w:val="left" w:pos="1701"/>
                <w:tab w:val="left" w:pos="2268"/>
              </w:tabs>
              <w:jc w:val="right"/>
              <w:rPr>
                <w:rFonts w:cs="Arial"/>
                <w:b/>
                <w:sz w:val="18"/>
                <w:szCs w:val="18"/>
              </w:rPr>
            </w:pPr>
            <w:r w:rsidRPr="006F7F73">
              <w:rPr>
                <w:rFonts w:cs="Arial"/>
                <w:b/>
                <w:sz w:val="18"/>
                <w:szCs w:val="18"/>
              </w:rPr>
              <w:t>2013</w:t>
            </w:r>
          </w:p>
          <w:p w:rsidR="006F7F73" w:rsidRPr="006F7F73" w:rsidRDefault="006F7F73" w:rsidP="00704CC0">
            <w:pPr>
              <w:keepNext/>
              <w:keepLines/>
              <w:tabs>
                <w:tab w:val="left" w:pos="567"/>
                <w:tab w:val="left" w:pos="1134"/>
                <w:tab w:val="left" w:pos="1701"/>
                <w:tab w:val="left" w:pos="2268"/>
              </w:tabs>
              <w:jc w:val="right"/>
              <w:rPr>
                <w:rFonts w:cs="Arial"/>
                <w:b/>
                <w:sz w:val="18"/>
                <w:szCs w:val="18"/>
              </w:rPr>
            </w:pPr>
            <w:r w:rsidRPr="006F7F73">
              <w:rPr>
                <w:rFonts w:cs="Arial"/>
                <w:b/>
                <w:bCs/>
                <w:sz w:val="18"/>
                <w:szCs w:val="18"/>
              </w:rPr>
              <w:t>£'000</w:t>
            </w:r>
          </w:p>
        </w:tc>
        <w:tc>
          <w:tcPr>
            <w:tcW w:w="559" w:type="pct"/>
            <w:tcBorders>
              <w:top w:val="nil"/>
              <w:left w:val="nil"/>
              <w:right w:val="nil"/>
            </w:tcBorders>
            <w:vAlign w:val="bottom"/>
          </w:tcPr>
          <w:p w:rsidR="006F7F73" w:rsidRPr="006F7F73" w:rsidRDefault="006F7F73" w:rsidP="00704CC0">
            <w:pPr>
              <w:keepNext/>
              <w:keepLines/>
              <w:tabs>
                <w:tab w:val="left" w:pos="567"/>
                <w:tab w:val="left" w:pos="1134"/>
                <w:tab w:val="left" w:pos="1701"/>
                <w:tab w:val="left" w:pos="2268"/>
              </w:tabs>
              <w:jc w:val="right"/>
              <w:rPr>
                <w:rFonts w:cs="Arial"/>
                <w:sz w:val="18"/>
                <w:szCs w:val="18"/>
              </w:rPr>
            </w:pPr>
            <w:r w:rsidRPr="006F7F73">
              <w:rPr>
                <w:rFonts w:cs="Arial"/>
                <w:sz w:val="18"/>
                <w:szCs w:val="18"/>
              </w:rPr>
              <w:t>Group</w:t>
            </w:r>
          </w:p>
          <w:p w:rsidR="006F7F73" w:rsidRPr="006F7F73" w:rsidRDefault="006F7F73" w:rsidP="00704CC0">
            <w:pPr>
              <w:keepNext/>
              <w:keepLines/>
              <w:tabs>
                <w:tab w:val="left" w:pos="567"/>
                <w:tab w:val="left" w:pos="1134"/>
                <w:tab w:val="left" w:pos="1701"/>
                <w:tab w:val="left" w:pos="2268"/>
              </w:tabs>
              <w:jc w:val="right"/>
              <w:rPr>
                <w:rFonts w:cs="Arial"/>
                <w:sz w:val="18"/>
                <w:szCs w:val="18"/>
              </w:rPr>
            </w:pPr>
            <w:r w:rsidRPr="006F7F73">
              <w:rPr>
                <w:rFonts w:cs="Arial"/>
                <w:sz w:val="18"/>
                <w:szCs w:val="18"/>
              </w:rPr>
              <w:t>2012</w:t>
            </w:r>
          </w:p>
          <w:p w:rsidR="006F7F73" w:rsidRPr="006F7F73" w:rsidRDefault="006F7F73" w:rsidP="00704CC0">
            <w:pPr>
              <w:keepNext/>
              <w:keepLines/>
              <w:tabs>
                <w:tab w:val="left" w:pos="567"/>
                <w:tab w:val="left" w:pos="1134"/>
                <w:tab w:val="left" w:pos="1701"/>
                <w:tab w:val="left" w:pos="2268"/>
              </w:tabs>
              <w:jc w:val="right"/>
              <w:rPr>
                <w:rFonts w:cs="Arial"/>
                <w:sz w:val="18"/>
                <w:szCs w:val="18"/>
              </w:rPr>
            </w:pPr>
            <w:r w:rsidRPr="006F7F73">
              <w:rPr>
                <w:rFonts w:cs="Arial"/>
                <w:bCs/>
                <w:sz w:val="18"/>
                <w:szCs w:val="18"/>
              </w:rPr>
              <w:t>£'000</w:t>
            </w:r>
          </w:p>
        </w:tc>
        <w:tc>
          <w:tcPr>
            <w:tcW w:w="687" w:type="pct"/>
            <w:tcBorders>
              <w:top w:val="nil"/>
              <w:left w:val="nil"/>
              <w:right w:val="nil"/>
            </w:tcBorders>
            <w:vAlign w:val="bottom"/>
          </w:tcPr>
          <w:p w:rsidR="006F7F73" w:rsidRPr="006F7F73" w:rsidRDefault="006F7F73" w:rsidP="00704CC0">
            <w:pPr>
              <w:keepNext/>
              <w:keepLines/>
              <w:tabs>
                <w:tab w:val="left" w:pos="567"/>
                <w:tab w:val="left" w:pos="1134"/>
                <w:tab w:val="left" w:pos="1701"/>
                <w:tab w:val="left" w:pos="2268"/>
              </w:tabs>
              <w:jc w:val="right"/>
              <w:rPr>
                <w:rFonts w:cs="Arial"/>
                <w:sz w:val="18"/>
                <w:szCs w:val="18"/>
              </w:rPr>
            </w:pPr>
            <w:r w:rsidRPr="006F7F73">
              <w:rPr>
                <w:rFonts w:cs="Arial"/>
                <w:sz w:val="18"/>
                <w:szCs w:val="18"/>
              </w:rPr>
              <w:t>Company</w:t>
            </w:r>
          </w:p>
          <w:p w:rsidR="006F7F73" w:rsidRPr="006F7F73" w:rsidRDefault="006F7F73" w:rsidP="00704CC0">
            <w:pPr>
              <w:keepNext/>
              <w:keepLines/>
              <w:tabs>
                <w:tab w:val="left" w:pos="567"/>
                <w:tab w:val="left" w:pos="1134"/>
                <w:tab w:val="left" w:pos="1701"/>
                <w:tab w:val="left" w:pos="2268"/>
              </w:tabs>
              <w:jc w:val="right"/>
              <w:rPr>
                <w:rFonts w:cs="Arial"/>
                <w:sz w:val="18"/>
                <w:szCs w:val="18"/>
              </w:rPr>
            </w:pPr>
            <w:r w:rsidRPr="006F7F73">
              <w:rPr>
                <w:rFonts w:cs="Arial"/>
                <w:sz w:val="18"/>
                <w:szCs w:val="18"/>
              </w:rPr>
              <w:t>2012</w:t>
            </w:r>
          </w:p>
          <w:p w:rsidR="006F7F73" w:rsidRPr="006F7F73" w:rsidRDefault="006F7F73" w:rsidP="00704CC0">
            <w:pPr>
              <w:keepNext/>
              <w:keepLines/>
              <w:tabs>
                <w:tab w:val="left" w:pos="567"/>
                <w:tab w:val="left" w:pos="1134"/>
                <w:tab w:val="left" w:pos="1701"/>
                <w:tab w:val="left" w:pos="2268"/>
              </w:tabs>
              <w:jc w:val="right"/>
              <w:rPr>
                <w:rFonts w:cs="Arial"/>
                <w:sz w:val="18"/>
                <w:szCs w:val="18"/>
              </w:rPr>
            </w:pPr>
            <w:r w:rsidRPr="006F7F73">
              <w:rPr>
                <w:rFonts w:cs="Arial"/>
                <w:bCs/>
                <w:sz w:val="18"/>
                <w:szCs w:val="18"/>
              </w:rPr>
              <w:t>£'000</w:t>
            </w:r>
          </w:p>
        </w:tc>
      </w:tr>
      <w:tr w:rsidR="00A56542" w:rsidRPr="00A76890" w:rsidTr="00562F9C">
        <w:trPr>
          <w:cantSplit/>
          <w:trHeight w:val="20"/>
        </w:trPr>
        <w:tc>
          <w:tcPr>
            <w:tcW w:w="2342" w:type="pct"/>
            <w:tcBorders>
              <w:top w:val="nil"/>
              <w:left w:val="nil"/>
              <w:bottom w:val="nil"/>
              <w:right w:val="nil"/>
            </w:tcBorders>
            <w:shd w:val="clear" w:color="auto" w:fill="auto"/>
            <w:noWrap/>
          </w:tcPr>
          <w:p w:rsidR="00A56542" w:rsidRPr="006F7F73" w:rsidRDefault="00A56542" w:rsidP="00704CC0">
            <w:pPr>
              <w:keepNext/>
              <w:keepLines/>
              <w:tabs>
                <w:tab w:val="left" w:pos="567"/>
                <w:tab w:val="left" w:pos="1134"/>
                <w:tab w:val="left" w:pos="1701"/>
                <w:tab w:val="left" w:pos="2268"/>
              </w:tabs>
              <w:ind w:left="567"/>
              <w:rPr>
                <w:rFonts w:cs="Arial"/>
                <w:sz w:val="18"/>
                <w:szCs w:val="18"/>
              </w:rPr>
            </w:pPr>
          </w:p>
          <w:p w:rsidR="00A56542" w:rsidRPr="006F7F73" w:rsidRDefault="00A56542" w:rsidP="00704CC0">
            <w:pPr>
              <w:keepNext/>
              <w:keepLines/>
              <w:tabs>
                <w:tab w:val="left" w:pos="567"/>
                <w:tab w:val="left" w:pos="1134"/>
                <w:tab w:val="left" w:pos="1701"/>
                <w:tab w:val="left" w:pos="2268"/>
              </w:tabs>
              <w:ind w:left="567"/>
              <w:rPr>
                <w:rFonts w:cs="Arial"/>
                <w:sz w:val="18"/>
                <w:szCs w:val="18"/>
              </w:rPr>
            </w:pPr>
            <w:r w:rsidRPr="006F7F73">
              <w:rPr>
                <w:rFonts w:cs="Arial"/>
                <w:sz w:val="18"/>
                <w:szCs w:val="18"/>
              </w:rPr>
              <w:t>Interest receivable from banks and others</w:t>
            </w:r>
          </w:p>
        </w:tc>
        <w:tc>
          <w:tcPr>
            <w:tcW w:w="692" w:type="pct"/>
            <w:tcBorders>
              <w:top w:val="nil"/>
              <w:left w:val="nil"/>
              <w:right w:val="nil"/>
            </w:tcBorders>
            <w:shd w:val="clear" w:color="auto" w:fill="auto"/>
            <w:noWrap/>
          </w:tcPr>
          <w:p w:rsidR="00A56542" w:rsidRPr="006F7F73" w:rsidRDefault="00A56542" w:rsidP="00704CC0">
            <w:pPr>
              <w:keepNext/>
              <w:keepLines/>
              <w:tabs>
                <w:tab w:val="left" w:pos="567"/>
                <w:tab w:val="left" w:pos="1134"/>
                <w:tab w:val="left" w:pos="1701"/>
                <w:tab w:val="left" w:pos="2268"/>
              </w:tabs>
              <w:jc w:val="right"/>
              <w:rPr>
                <w:rFonts w:cs="Arial"/>
                <w:b/>
                <w:sz w:val="18"/>
                <w:szCs w:val="18"/>
              </w:rPr>
            </w:pPr>
          </w:p>
          <w:p w:rsidR="0092462C" w:rsidRPr="006F7F73" w:rsidRDefault="0092462C" w:rsidP="00704CC0">
            <w:pPr>
              <w:keepNext/>
              <w:keepLines/>
              <w:tabs>
                <w:tab w:val="left" w:pos="567"/>
                <w:tab w:val="left" w:pos="1134"/>
                <w:tab w:val="left" w:pos="1701"/>
                <w:tab w:val="left" w:pos="2268"/>
              </w:tabs>
              <w:jc w:val="right"/>
              <w:rPr>
                <w:rFonts w:cs="Arial"/>
                <w:b/>
                <w:sz w:val="18"/>
                <w:szCs w:val="18"/>
              </w:rPr>
            </w:pPr>
            <w:r w:rsidRPr="006F7F73">
              <w:rPr>
                <w:rFonts w:cs="Arial"/>
                <w:b/>
                <w:sz w:val="18"/>
                <w:szCs w:val="18"/>
              </w:rPr>
              <w:t>-</w:t>
            </w:r>
          </w:p>
        </w:tc>
        <w:tc>
          <w:tcPr>
            <w:tcW w:w="720" w:type="pct"/>
            <w:tcBorders>
              <w:top w:val="nil"/>
              <w:left w:val="nil"/>
              <w:right w:val="nil"/>
            </w:tcBorders>
            <w:shd w:val="clear" w:color="auto" w:fill="auto"/>
            <w:noWrap/>
          </w:tcPr>
          <w:p w:rsidR="00A56542" w:rsidRPr="006F7F73" w:rsidRDefault="00A56542" w:rsidP="00704CC0">
            <w:pPr>
              <w:keepNext/>
              <w:keepLines/>
              <w:tabs>
                <w:tab w:val="left" w:pos="567"/>
                <w:tab w:val="left" w:pos="1134"/>
                <w:tab w:val="left" w:pos="1701"/>
                <w:tab w:val="left" w:pos="2268"/>
              </w:tabs>
              <w:jc w:val="right"/>
              <w:rPr>
                <w:rFonts w:cs="Arial"/>
                <w:b/>
                <w:sz w:val="18"/>
                <w:szCs w:val="18"/>
              </w:rPr>
            </w:pPr>
          </w:p>
          <w:p w:rsidR="0092462C" w:rsidRPr="006F7F73" w:rsidRDefault="0092462C" w:rsidP="00704CC0">
            <w:pPr>
              <w:keepNext/>
              <w:keepLines/>
              <w:tabs>
                <w:tab w:val="left" w:pos="567"/>
                <w:tab w:val="left" w:pos="1134"/>
                <w:tab w:val="left" w:pos="1701"/>
                <w:tab w:val="left" w:pos="2268"/>
              </w:tabs>
              <w:jc w:val="right"/>
              <w:rPr>
                <w:rFonts w:cs="Arial"/>
                <w:b/>
                <w:sz w:val="18"/>
                <w:szCs w:val="18"/>
              </w:rPr>
            </w:pPr>
            <w:r w:rsidRPr="006F7F73">
              <w:rPr>
                <w:rFonts w:cs="Arial"/>
                <w:b/>
                <w:sz w:val="18"/>
                <w:szCs w:val="18"/>
              </w:rPr>
              <w:t>-</w:t>
            </w:r>
          </w:p>
        </w:tc>
        <w:tc>
          <w:tcPr>
            <w:tcW w:w="559" w:type="pct"/>
            <w:tcBorders>
              <w:top w:val="nil"/>
              <w:left w:val="nil"/>
              <w:right w:val="nil"/>
            </w:tcBorders>
          </w:tcPr>
          <w:p w:rsidR="00A56542" w:rsidRPr="006F7F73" w:rsidRDefault="00A56542" w:rsidP="00704CC0">
            <w:pPr>
              <w:keepNext/>
              <w:keepLines/>
              <w:tabs>
                <w:tab w:val="left" w:pos="567"/>
                <w:tab w:val="left" w:pos="1134"/>
                <w:tab w:val="left" w:pos="1701"/>
                <w:tab w:val="left" w:pos="2268"/>
              </w:tabs>
              <w:jc w:val="right"/>
              <w:rPr>
                <w:rFonts w:cs="Arial"/>
                <w:sz w:val="18"/>
                <w:szCs w:val="18"/>
              </w:rPr>
            </w:pPr>
          </w:p>
          <w:p w:rsidR="00A56542" w:rsidRPr="006F7F73" w:rsidRDefault="00A56542" w:rsidP="00704CC0">
            <w:pPr>
              <w:keepNext/>
              <w:keepLines/>
              <w:tabs>
                <w:tab w:val="left" w:pos="567"/>
                <w:tab w:val="left" w:pos="1134"/>
                <w:tab w:val="left" w:pos="1701"/>
                <w:tab w:val="left" w:pos="2268"/>
              </w:tabs>
              <w:jc w:val="right"/>
              <w:rPr>
                <w:rFonts w:cs="Arial"/>
                <w:sz w:val="18"/>
                <w:szCs w:val="18"/>
              </w:rPr>
            </w:pPr>
            <w:r w:rsidRPr="006F7F73">
              <w:rPr>
                <w:rFonts w:cs="Arial"/>
                <w:sz w:val="18"/>
                <w:szCs w:val="18"/>
              </w:rPr>
              <w:t>-</w:t>
            </w:r>
          </w:p>
        </w:tc>
        <w:tc>
          <w:tcPr>
            <w:tcW w:w="687" w:type="pct"/>
            <w:tcBorders>
              <w:top w:val="nil"/>
              <w:left w:val="nil"/>
              <w:right w:val="nil"/>
            </w:tcBorders>
          </w:tcPr>
          <w:p w:rsidR="00A56542" w:rsidRPr="006F7F73" w:rsidRDefault="00A56542" w:rsidP="00704CC0">
            <w:pPr>
              <w:keepNext/>
              <w:keepLines/>
              <w:tabs>
                <w:tab w:val="left" w:pos="567"/>
                <w:tab w:val="left" w:pos="1134"/>
                <w:tab w:val="left" w:pos="1701"/>
                <w:tab w:val="left" w:pos="2268"/>
              </w:tabs>
              <w:jc w:val="right"/>
              <w:rPr>
                <w:rFonts w:cs="Arial"/>
                <w:sz w:val="18"/>
                <w:szCs w:val="18"/>
              </w:rPr>
            </w:pPr>
            <w:r w:rsidRPr="006F7F73">
              <w:rPr>
                <w:rFonts w:cs="Arial"/>
                <w:sz w:val="18"/>
                <w:szCs w:val="18"/>
              </w:rPr>
              <w:t xml:space="preserve">                1</w:t>
            </w:r>
          </w:p>
        </w:tc>
      </w:tr>
      <w:tr w:rsidR="00A56542" w:rsidRPr="00A76890" w:rsidTr="00562F9C">
        <w:trPr>
          <w:cantSplit/>
          <w:trHeight w:val="20"/>
        </w:trPr>
        <w:tc>
          <w:tcPr>
            <w:tcW w:w="2342" w:type="pct"/>
            <w:tcBorders>
              <w:top w:val="nil"/>
              <w:left w:val="nil"/>
              <w:bottom w:val="nil"/>
              <w:right w:val="nil"/>
            </w:tcBorders>
            <w:shd w:val="clear" w:color="auto" w:fill="auto"/>
            <w:noWrap/>
          </w:tcPr>
          <w:p w:rsidR="00A56542" w:rsidRPr="006F7F73" w:rsidRDefault="00A56542" w:rsidP="00704CC0">
            <w:pPr>
              <w:keepNext/>
              <w:keepLines/>
              <w:tabs>
                <w:tab w:val="left" w:pos="567"/>
                <w:tab w:val="left" w:pos="1134"/>
                <w:tab w:val="left" w:pos="1701"/>
                <w:tab w:val="left" w:pos="2268"/>
              </w:tabs>
              <w:ind w:left="567"/>
              <w:rPr>
                <w:rFonts w:cs="Arial"/>
                <w:sz w:val="18"/>
                <w:szCs w:val="18"/>
              </w:rPr>
            </w:pPr>
            <w:r w:rsidRPr="006F7F73">
              <w:rPr>
                <w:rFonts w:cs="Arial"/>
                <w:sz w:val="18"/>
                <w:szCs w:val="18"/>
              </w:rPr>
              <w:t>Directors</w:t>
            </w:r>
            <w:r w:rsidR="00817B9C" w:rsidRPr="006F7F73">
              <w:rPr>
                <w:rFonts w:cs="Arial"/>
                <w:sz w:val="18"/>
                <w:szCs w:val="18"/>
              </w:rPr>
              <w:t>’</w:t>
            </w:r>
            <w:r w:rsidRPr="006F7F73">
              <w:rPr>
                <w:rFonts w:cs="Arial"/>
                <w:sz w:val="18"/>
                <w:szCs w:val="18"/>
              </w:rPr>
              <w:t xml:space="preserve"> fee receivable</w:t>
            </w:r>
          </w:p>
        </w:tc>
        <w:tc>
          <w:tcPr>
            <w:tcW w:w="692" w:type="pct"/>
            <w:tcBorders>
              <w:top w:val="nil"/>
              <w:left w:val="nil"/>
              <w:right w:val="nil"/>
            </w:tcBorders>
            <w:shd w:val="clear" w:color="auto" w:fill="auto"/>
            <w:noWrap/>
          </w:tcPr>
          <w:p w:rsidR="00A56542" w:rsidRPr="006F7F73" w:rsidRDefault="0092462C" w:rsidP="00704CC0">
            <w:pPr>
              <w:keepNext/>
              <w:keepLines/>
              <w:tabs>
                <w:tab w:val="left" w:pos="567"/>
                <w:tab w:val="left" w:pos="1134"/>
                <w:tab w:val="left" w:pos="1701"/>
                <w:tab w:val="left" w:pos="2268"/>
              </w:tabs>
              <w:jc w:val="right"/>
              <w:rPr>
                <w:rFonts w:cs="Arial"/>
                <w:b/>
                <w:sz w:val="18"/>
                <w:szCs w:val="18"/>
              </w:rPr>
            </w:pPr>
            <w:r w:rsidRPr="006F7F73">
              <w:rPr>
                <w:rFonts w:cs="Arial"/>
                <w:b/>
                <w:sz w:val="18"/>
                <w:szCs w:val="18"/>
              </w:rPr>
              <w:t>-</w:t>
            </w:r>
          </w:p>
        </w:tc>
        <w:tc>
          <w:tcPr>
            <w:tcW w:w="720" w:type="pct"/>
            <w:tcBorders>
              <w:top w:val="nil"/>
              <w:left w:val="nil"/>
              <w:right w:val="nil"/>
            </w:tcBorders>
            <w:shd w:val="clear" w:color="auto" w:fill="auto"/>
            <w:noWrap/>
          </w:tcPr>
          <w:p w:rsidR="00A56542" w:rsidRPr="006F7F73" w:rsidRDefault="0092462C" w:rsidP="00704CC0">
            <w:pPr>
              <w:keepNext/>
              <w:keepLines/>
              <w:tabs>
                <w:tab w:val="left" w:pos="567"/>
                <w:tab w:val="left" w:pos="1134"/>
                <w:tab w:val="left" w:pos="1701"/>
                <w:tab w:val="left" w:pos="2268"/>
              </w:tabs>
              <w:jc w:val="right"/>
              <w:rPr>
                <w:rFonts w:cs="Arial"/>
                <w:b/>
                <w:sz w:val="18"/>
                <w:szCs w:val="18"/>
              </w:rPr>
            </w:pPr>
            <w:r w:rsidRPr="006F7F73">
              <w:rPr>
                <w:rFonts w:cs="Arial"/>
                <w:b/>
                <w:sz w:val="18"/>
                <w:szCs w:val="18"/>
              </w:rPr>
              <w:t>-</w:t>
            </w:r>
          </w:p>
        </w:tc>
        <w:tc>
          <w:tcPr>
            <w:tcW w:w="559" w:type="pct"/>
            <w:tcBorders>
              <w:top w:val="nil"/>
              <w:left w:val="nil"/>
              <w:right w:val="nil"/>
            </w:tcBorders>
          </w:tcPr>
          <w:p w:rsidR="00A56542" w:rsidRPr="006F7F73" w:rsidRDefault="00A56542" w:rsidP="00704CC0">
            <w:pPr>
              <w:keepNext/>
              <w:keepLines/>
              <w:tabs>
                <w:tab w:val="left" w:pos="567"/>
                <w:tab w:val="left" w:pos="1134"/>
                <w:tab w:val="left" w:pos="1701"/>
                <w:tab w:val="left" w:pos="2268"/>
              </w:tabs>
              <w:jc w:val="right"/>
              <w:rPr>
                <w:rFonts w:cs="Arial"/>
                <w:sz w:val="18"/>
                <w:szCs w:val="18"/>
              </w:rPr>
            </w:pPr>
            <w:r w:rsidRPr="006F7F73">
              <w:rPr>
                <w:rFonts w:cs="Arial"/>
                <w:sz w:val="18"/>
                <w:szCs w:val="18"/>
              </w:rPr>
              <w:t>13</w:t>
            </w:r>
          </w:p>
        </w:tc>
        <w:tc>
          <w:tcPr>
            <w:tcW w:w="687" w:type="pct"/>
            <w:tcBorders>
              <w:top w:val="nil"/>
              <w:left w:val="nil"/>
              <w:right w:val="nil"/>
            </w:tcBorders>
          </w:tcPr>
          <w:p w:rsidR="00A56542" w:rsidRPr="006F7F73" w:rsidRDefault="00A56542" w:rsidP="00704CC0">
            <w:pPr>
              <w:keepNext/>
              <w:keepLines/>
              <w:tabs>
                <w:tab w:val="left" w:pos="567"/>
                <w:tab w:val="left" w:pos="1134"/>
                <w:tab w:val="left" w:pos="1701"/>
                <w:tab w:val="left" w:pos="2268"/>
              </w:tabs>
              <w:jc w:val="right"/>
              <w:rPr>
                <w:rFonts w:cs="Arial"/>
                <w:sz w:val="18"/>
                <w:szCs w:val="18"/>
              </w:rPr>
            </w:pPr>
            <w:r w:rsidRPr="006F7F73">
              <w:rPr>
                <w:rFonts w:cs="Arial"/>
                <w:sz w:val="18"/>
                <w:szCs w:val="18"/>
              </w:rPr>
              <w:t>-</w:t>
            </w:r>
          </w:p>
        </w:tc>
      </w:tr>
      <w:tr w:rsidR="00A56542" w:rsidRPr="00A76890" w:rsidTr="00562F9C">
        <w:trPr>
          <w:cantSplit/>
          <w:trHeight w:val="20"/>
        </w:trPr>
        <w:tc>
          <w:tcPr>
            <w:tcW w:w="2342" w:type="pct"/>
            <w:tcBorders>
              <w:top w:val="nil"/>
              <w:left w:val="nil"/>
              <w:right w:val="nil"/>
            </w:tcBorders>
            <w:shd w:val="clear" w:color="auto" w:fill="auto"/>
            <w:noWrap/>
          </w:tcPr>
          <w:p w:rsidR="00A56542" w:rsidRPr="006F7F73" w:rsidRDefault="00A56542" w:rsidP="00704CC0">
            <w:pPr>
              <w:keepNext/>
              <w:keepLines/>
              <w:tabs>
                <w:tab w:val="left" w:pos="567"/>
                <w:tab w:val="left" w:pos="1134"/>
                <w:tab w:val="left" w:pos="1701"/>
                <w:tab w:val="left" w:pos="2268"/>
              </w:tabs>
              <w:ind w:left="567"/>
              <w:rPr>
                <w:rFonts w:cs="Arial"/>
                <w:sz w:val="18"/>
                <w:szCs w:val="18"/>
              </w:rPr>
            </w:pPr>
            <w:r w:rsidRPr="006F7F73">
              <w:rPr>
                <w:rFonts w:cs="Arial"/>
                <w:sz w:val="18"/>
                <w:szCs w:val="18"/>
              </w:rPr>
              <w:t>Accrued income</w:t>
            </w:r>
          </w:p>
        </w:tc>
        <w:tc>
          <w:tcPr>
            <w:tcW w:w="692" w:type="pct"/>
            <w:tcBorders>
              <w:top w:val="nil"/>
              <w:left w:val="nil"/>
              <w:right w:val="nil"/>
            </w:tcBorders>
            <w:shd w:val="clear" w:color="auto" w:fill="auto"/>
            <w:noWrap/>
          </w:tcPr>
          <w:p w:rsidR="00A56542" w:rsidRPr="006F7F73" w:rsidRDefault="0092462C" w:rsidP="00704CC0">
            <w:pPr>
              <w:keepNext/>
              <w:keepLines/>
              <w:tabs>
                <w:tab w:val="left" w:pos="567"/>
                <w:tab w:val="left" w:pos="1134"/>
                <w:tab w:val="left" w:pos="1701"/>
                <w:tab w:val="left" w:pos="2268"/>
              </w:tabs>
              <w:jc w:val="right"/>
              <w:rPr>
                <w:rFonts w:cs="Arial"/>
                <w:b/>
                <w:sz w:val="18"/>
                <w:szCs w:val="18"/>
              </w:rPr>
            </w:pPr>
            <w:r w:rsidRPr="006F7F73">
              <w:rPr>
                <w:rFonts w:cs="Arial"/>
                <w:b/>
                <w:sz w:val="18"/>
                <w:szCs w:val="18"/>
              </w:rPr>
              <w:t>-</w:t>
            </w:r>
          </w:p>
        </w:tc>
        <w:tc>
          <w:tcPr>
            <w:tcW w:w="720" w:type="pct"/>
            <w:tcBorders>
              <w:top w:val="nil"/>
              <w:left w:val="nil"/>
              <w:right w:val="nil"/>
            </w:tcBorders>
            <w:shd w:val="clear" w:color="auto" w:fill="auto"/>
            <w:noWrap/>
          </w:tcPr>
          <w:p w:rsidR="00A56542" w:rsidRPr="006F7F73" w:rsidRDefault="0092462C" w:rsidP="00704CC0">
            <w:pPr>
              <w:keepNext/>
              <w:keepLines/>
              <w:tabs>
                <w:tab w:val="left" w:pos="567"/>
                <w:tab w:val="left" w:pos="1134"/>
                <w:tab w:val="left" w:pos="1701"/>
                <w:tab w:val="left" w:pos="2268"/>
              </w:tabs>
              <w:jc w:val="right"/>
              <w:rPr>
                <w:rFonts w:cs="Arial"/>
                <w:b/>
                <w:sz w:val="18"/>
                <w:szCs w:val="18"/>
              </w:rPr>
            </w:pPr>
            <w:r w:rsidRPr="006F7F73">
              <w:rPr>
                <w:rFonts w:cs="Arial"/>
                <w:b/>
                <w:sz w:val="18"/>
                <w:szCs w:val="18"/>
              </w:rPr>
              <w:t>-</w:t>
            </w:r>
          </w:p>
        </w:tc>
        <w:tc>
          <w:tcPr>
            <w:tcW w:w="559" w:type="pct"/>
            <w:tcBorders>
              <w:top w:val="nil"/>
              <w:left w:val="nil"/>
              <w:right w:val="nil"/>
            </w:tcBorders>
          </w:tcPr>
          <w:p w:rsidR="00A56542" w:rsidRPr="006F7F73" w:rsidRDefault="00A56542" w:rsidP="00704CC0">
            <w:pPr>
              <w:keepNext/>
              <w:keepLines/>
              <w:tabs>
                <w:tab w:val="left" w:pos="567"/>
                <w:tab w:val="left" w:pos="1134"/>
                <w:tab w:val="left" w:pos="1701"/>
                <w:tab w:val="left" w:pos="2268"/>
              </w:tabs>
              <w:jc w:val="right"/>
              <w:rPr>
                <w:rFonts w:cs="Arial"/>
                <w:sz w:val="18"/>
                <w:szCs w:val="18"/>
              </w:rPr>
            </w:pPr>
            <w:r w:rsidRPr="006F7F73">
              <w:rPr>
                <w:rFonts w:cs="Arial"/>
                <w:sz w:val="18"/>
                <w:szCs w:val="18"/>
              </w:rPr>
              <w:t>63</w:t>
            </w:r>
          </w:p>
        </w:tc>
        <w:tc>
          <w:tcPr>
            <w:tcW w:w="687" w:type="pct"/>
            <w:tcBorders>
              <w:top w:val="nil"/>
              <w:left w:val="nil"/>
              <w:right w:val="nil"/>
            </w:tcBorders>
          </w:tcPr>
          <w:p w:rsidR="00A56542" w:rsidRPr="006F7F73" w:rsidRDefault="00A56542" w:rsidP="00704CC0">
            <w:pPr>
              <w:keepNext/>
              <w:keepLines/>
              <w:tabs>
                <w:tab w:val="left" w:pos="567"/>
                <w:tab w:val="left" w:pos="1134"/>
                <w:tab w:val="left" w:pos="1701"/>
                <w:tab w:val="left" w:pos="2268"/>
              </w:tabs>
              <w:jc w:val="right"/>
              <w:rPr>
                <w:rFonts w:cs="Arial"/>
                <w:sz w:val="18"/>
                <w:szCs w:val="18"/>
              </w:rPr>
            </w:pPr>
            <w:r w:rsidRPr="006F7F73">
              <w:rPr>
                <w:rFonts w:cs="Arial"/>
                <w:sz w:val="18"/>
                <w:szCs w:val="18"/>
              </w:rPr>
              <w:t>-</w:t>
            </w:r>
          </w:p>
        </w:tc>
      </w:tr>
      <w:tr w:rsidR="00A56542" w:rsidRPr="00A76890" w:rsidTr="00562F9C">
        <w:trPr>
          <w:cantSplit/>
          <w:trHeight w:val="20"/>
        </w:trPr>
        <w:tc>
          <w:tcPr>
            <w:tcW w:w="2342" w:type="pct"/>
            <w:tcBorders>
              <w:left w:val="nil"/>
              <w:bottom w:val="nil"/>
              <w:right w:val="nil"/>
            </w:tcBorders>
            <w:shd w:val="clear" w:color="auto" w:fill="auto"/>
            <w:noWrap/>
          </w:tcPr>
          <w:p w:rsidR="00A56542" w:rsidRPr="006F7F73" w:rsidRDefault="00A56542" w:rsidP="00704CC0">
            <w:pPr>
              <w:tabs>
                <w:tab w:val="left" w:pos="567"/>
                <w:tab w:val="left" w:pos="1134"/>
                <w:tab w:val="left" w:pos="1701"/>
                <w:tab w:val="left" w:pos="2268"/>
              </w:tabs>
              <w:jc w:val="right"/>
              <w:rPr>
                <w:rFonts w:cs="Arial"/>
                <w:sz w:val="18"/>
                <w:szCs w:val="18"/>
              </w:rPr>
            </w:pPr>
          </w:p>
        </w:tc>
        <w:tc>
          <w:tcPr>
            <w:tcW w:w="692" w:type="pct"/>
            <w:tcBorders>
              <w:top w:val="single" w:sz="4" w:space="0" w:color="auto"/>
              <w:left w:val="nil"/>
              <w:bottom w:val="single" w:sz="4" w:space="0" w:color="auto"/>
              <w:right w:val="nil"/>
            </w:tcBorders>
            <w:shd w:val="clear" w:color="auto" w:fill="auto"/>
            <w:noWrap/>
          </w:tcPr>
          <w:p w:rsidR="00A56542" w:rsidRPr="006F7F73" w:rsidRDefault="0092462C" w:rsidP="00704CC0">
            <w:pPr>
              <w:tabs>
                <w:tab w:val="left" w:pos="567"/>
                <w:tab w:val="left" w:pos="1134"/>
                <w:tab w:val="left" w:pos="1701"/>
                <w:tab w:val="left" w:pos="2268"/>
              </w:tabs>
              <w:jc w:val="right"/>
              <w:rPr>
                <w:rFonts w:cs="Arial"/>
                <w:b/>
                <w:sz w:val="18"/>
                <w:szCs w:val="18"/>
              </w:rPr>
            </w:pPr>
            <w:r w:rsidRPr="006F7F73">
              <w:rPr>
                <w:rFonts w:cs="Arial"/>
                <w:b/>
                <w:sz w:val="18"/>
                <w:szCs w:val="18"/>
              </w:rPr>
              <w:t>-</w:t>
            </w:r>
          </w:p>
        </w:tc>
        <w:tc>
          <w:tcPr>
            <w:tcW w:w="720" w:type="pct"/>
            <w:tcBorders>
              <w:top w:val="single" w:sz="4" w:space="0" w:color="auto"/>
              <w:left w:val="nil"/>
              <w:bottom w:val="single" w:sz="4" w:space="0" w:color="auto"/>
              <w:right w:val="nil"/>
            </w:tcBorders>
            <w:shd w:val="clear" w:color="auto" w:fill="auto"/>
            <w:noWrap/>
          </w:tcPr>
          <w:p w:rsidR="00A56542" w:rsidRPr="006F7F73" w:rsidRDefault="0092462C" w:rsidP="00704CC0">
            <w:pPr>
              <w:tabs>
                <w:tab w:val="left" w:pos="567"/>
                <w:tab w:val="left" w:pos="1134"/>
                <w:tab w:val="left" w:pos="1701"/>
                <w:tab w:val="left" w:pos="2268"/>
              </w:tabs>
              <w:jc w:val="right"/>
              <w:rPr>
                <w:rFonts w:cs="Arial"/>
                <w:b/>
                <w:sz w:val="18"/>
                <w:szCs w:val="18"/>
              </w:rPr>
            </w:pPr>
            <w:r w:rsidRPr="006F7F73">
              <w:rPr>
                <w:rFonts w:cs="Arial"/>
                <w:b/>
                <w:sz w:val="18"/>
                <w:szCs w:val="18"/>
              </w:rPr>
              <w:t>-</w:t>
            </w:r>
          </w:p>
        </w:tc>
        <w:tc>
          <w:tcPr>
            <w:tcW w:w="559" w:type="pct"/>
            <w:tcBorders>
              <w:top w:val="single" w:sz="4" w:space="0" w:color="auto"/>
              <w:left w:val="nil"/>
              <w:bottom w:val="single" w:sz="4" w:space="0" w:color="auto"/>
              <w:right w:val="nil"/>
            </w:tcBorders>
          </w:tcPr>
          <w:p w:rsidR="00A56542" w:rsidRPr="006F7F73" w:rsidRDefault="00A56542" w:rsidP="00704CC0">
            <w:pPr>
              <w:tabs>
                <w:tab w:val="left" w:pos="567"/>
                <w:tab w:val="left" w:pos="1134"/>
                <w:tab w:val="left" w:pos="1701"/>
                <w:tab w:val="left" w:pos="2268"/>
              </w:tabs>
              <w:jc w:val="right"/>
              <w:rPr>
                <w:rFonts w:cs="Arial"/>
                <w:sz w:val="18"/>
                <w:szCs w:val="18"/>
              </w:rPr>
            </w:pPr>
            <w:r w:rsidRPr="006F7F73">
              <w:rPr>
                <w:rFonts w:cs="Arial"/>
                <w:sz w:val="18"/>
                <w:szCs w:val="18"/>
              </w:rPr>
              <w:t>76</w:t>
            </w:r>
          </w:p>
        </w:tc>
        <w:tc>
          <w:tcPr>
            <w:tcW w:w="687" w:type="pct"/>
            <w:tcBorders>
              <w:top w:val="single" w:sz="4" w:space="0" w:color="auto"/>
              <w:left w:val="nil"/>
              <w:bottom w:val="single" w:sz="4" w:space="0" w:color="auto"/>
              <w:right w:val="nil"/>
            </w:tcBorders>
          </w:tcPr>
          <w:p w:rsidR="00A56542" w:rsidRPr="006F7F73" w:rsidRDefault="00A56542" w:rsidP="00704CC0">
            <w:pPr>
              <w:tabs>
                <w:tab w:val="left" w:pos="567"/>
                <w:tab w:val="left" w:pos="1134"/>
                <w:tab w:val="left" w:pos="1701"/>
                <w:tab w:val="left" w:pos="2268"/>
              </w:tabs>
              <w:jc w:val="right"/>
              <w:rPr>
                <w:rFonts w:cs="Arial"/>
                <w:sz w:val="18"/>
                <w:szCs w:val="18"/>
              </w:rPr>
            </w:pPr>
            <w:r w:rsidRPr="006F7F73">
              <w:rPr>
                <w:rFonts w:cs="Arial"/>
                <w:sz w:val="18"/>
                <w:szCs w:val="18"/>
              </w:rPr>
              <w:t>1</w:t>
            </w:r>
          </w:p>
        </w:tc>
      </w:tr>
    </w:tbl>
    <w:p w:rsidR="0092140F" w:rsidRPr="00A76890" w:rsidRDefault="0092140F" w:rsidP="00704CC0">
      <w:pPr>
        <w:pStyle w:val="Normal2-Para"/>
        <w:spacing w:line="240" w:lineRule="auto"/>
        <w:ind w:left="567"/>
      </w:pPr>
      <w:r w:rsidRPr="00A76890">
        <w:t>All trade and other receivables are short- term and their carrying values are considered to be a</w:t>
      </w:r>
      <w:r w:rsidR="00B63E9C" w:rsidRPr="00A76890">
        <w:t xml:space="preserve"> </w:t>
      </w:r>
      <w:r w:rsidRPr="00A76890">
        <w:t>reasonable approximation of their fair value.</w:t>
      </w:r>
    </w:p>
    <w:p w:rsidR="00863596" w:rsidRPr="006F7F73" w:rsidRDefault="0092140F" w:rsidP="00704CC0">
      <w:pPr>
        <w:keepNext/>
        <w:keepLines/>
        <w:numPr>
          <w:ilvl w:val="0"/>
          <w:numId w:val="4"/>
        </w:numPr>
        <w:tabs>
          <w:tab w:val="clear" w:pos="810"/>
          <w:tab w:val="left" w:pos="567"/>
          <w:tab w:val="left" w:pos="1134"/>
          <w:tab w:val="left" w:pos="1701"/>
          <w:tab w:val="left" w:pos="2268"/>
        </w:tabs>
        <w:spacing w:before="240" w:after="120"/>
        <w:ind w:left="567" w:hanging="567"/>
        <w:rPr>
          <w:rFonts w:cs="Arial"/>
          <w:b/>
        </w:rPr>
      </w:pPr>
      <w:r w:rsidRPr="006F7F73">
        <w:rPr>
          <w:rFonts w:cs="Arial"/>
          <w:b/>
        </w:rPr>
        <w:t>Cash and cash equivalents</w:t>
      </w:r>
    </w:p>
    <w:tbl>
      <w:tblPr>
        <w:tblW w:w="8953" w:type="dxa"/>
        <w:tblLayout w:type="fixed"/>
        <w:tblCellMar>
          <w:top w:w="28" w:type="dxa"/>
          <w:left w:w="57" w:type="dxa"/>
          <w:bottom w:w="28" w:type="dxa"/>
          <w:right w:w="57" w:type="dxa"/>
        </w:tblCellMar>
        <w:tblLook w:val="0000"/>
      </w:tblPr>
      <w:tblGrid>
        <w:gridCol w:w="4179"/>
        <w:gridCol w:w="1193"/>
        <w:gridCol w:w="1194"/>
        <w:gridCol w:w="1194"/>
        <w:gridCol w:w="1193"/>
      </w:tblGrid>
      <w:tr w:rsidR="006F7F73" w:rsidRPr="006F7F73" w:rsidTr="00562F9C">
        <w:trPr>
          <w:cantSplit/>
          <w:trHeight w:val="20"/>
        </w:trPr>
        <w:tc>
          <w:tcPr>
            <w:tcW w:w="2334" w:type="pct"/>
            <w:tcBorders>
              <w:top w:val="nil"/>
              <w:left w:val="nil"/>
              <w:right w:val="nil"/>
            </w:tcBorders>
            <w:shd w:val="clear" w:color="auto" w:fill="auto"/>
            <w:noWrap/>
            <w:vAlign w:val="bottom"/>
          </w:tcPr>
          <w:p w:rsidR="006F7F73" w:rsidRPr="006F7F73" w:rsidRDefault="006F7F73" w:rsidP="00704CC0">
            <w:pPr>
              <w:keepNext/>
              <w:keepLines/>
              <w:tabs>
                <w:tab w:val="left" w:pos="567"/>
                <w:tab w:val="left" w:pos="1134"/>
                <w:tab w:val="left" w:pos="1701"/>
                <w:tab w:val="left" w:pos="2268"/>
              </w:tabs>
              <w:ind w:left="567"/>
              <w:rPr>
                <w:rFonts w:cs="Arial"/>
                <w:b/>
                <w:sz w:val="18"/>
                <w:szCs w:val="18"/>
              </w:rPr>
            </w:pPr>
          </w:p>
        </w:tc>
        <w:tc>
          <w:tcPr>
            <w:tcW w:w="666" w:type="pct"/>
            <w:tcBorders>
              <w:left w:val="nil"/>
              <w:right w:val="nil"/>
            </w:tcBorders>
            <w:shd w:val="clear" w:color="auto" w:fill="auto"/>
            <w:noWrap/>
            <w:vAlign w:val="bottom"/>
          </w:tcPr>
          <w:p w:rsidR="006F7F73" w:rsidRPr="006F7F73" w:rsidRDefault="006F7F73" w:rsidP="00704CC0">
            <w:pPr>
              <w:keepNext/>
              <w:keepLines/>
              <w:tabs>
                <w:tab w:val="left" w:pos="567"/>
                <w:tab w:val="left" w:pos="1134"/>
                <w:tab w:val="left" w:pos="1701"/>
                <w:tab w:val="left" w:pos="2268"/>
              </w:tabs>
              <w:jc w:val="right"/>
              <w:rPr>
                <w:rFonts w:cs="Arial"/>
                <w:b/>
                <w:sz w:val="18"/>
                <w:szCs w:val="18"/>
              </w:rPr>
            </w:pPr>
            <w:r w:rsidRPr="006F7F73">
              <w:rPr>
                <w:rFonts w:cs="Arial"/>
                <w:b/>
                <w:sz w:val="18"/>
                <w:szCs w:val="18"/>
              </w:rPr>
              <w:t>Group</w:t>
            </w:r>
          </w:p>
          <w:p w:rsidR="006F7F73" w:rsidRPr="006F7F73" w:rsidRDefault="006F7F73" w:rsidP="00704CC0">
            <w:pPr>
              <w:keepNext/>
              <w:keepLines/>
              <w:tabs>
                <w:tab w:val="left" w:pos="567"/>
                <w:tab w:val="left" w:pos="1134"/>
                <w:tab w:val="left" w:pos="1701"/>
                <w:tab w:val="left" w:pos="2268"/>
              </w:tabs>
              <w:jc w:val="right"/>
              <w:rPr>
                <w:rFonts w:cs="Arial"/>
                <w:b/>
                <w:sz w:val="18"/>
                <w:szCs w:val="18"/>
              </w:rPr>
            </w:pPr>
            <w:r w:rsidRPr="006F7F73">
              <w:rPr>
                <w:rFonts w:cs="Arial"/>
                <w:b/>
                <w:sz w:val="18"/>
                <w:szCs w:val="18"/>
              </w:rPr>
              <w:t>2013</w:t>
            </w:r>
          </w:p>
          <w:p w:rsidR="006F7F73" w:rsidRPr="006F7F73" w:rsidRDefault="006F7F73" w:rsidP="00704CC0">
            <w:pPr>
              <w:keepNext/>
              <w:keepLines/>
              <w:tabs>
                <w:tab w:val="left" w:pos="567"/>
                <w:tab w:val="left" w:pos="1134"/>
                <w:tab w:val="left" w:pos="1701"/>
                <w:tab w:val="left" w:pos="2268"/>
              </w:tabs>
              <w:jc w:val="right"/>
              <w:rPr>
                <w:rFonts w:cs="Arial"/>
                <w:b/>
                <w:sz w:val="18"/>
                <w:szCs w:val="18"/>
              </w:rPr>
            </w:pPr>
            <w:r w:rsidRPr="006F7F73">
              <w:rPr>
                <w:rFonts w:cs="Arial"/>
                <w:b/>
                <w:bCs/>
                <w:sz w:val="18"/>
                <w:szCs w:val="18"/>
              </w:rPr>
              <w:t>£'000</w:t>
            </w:r>
          </w:p>
        </w:tc>
        <w:tc>
          <w:tcPr>
            <w:tcW w:w="667" w:type="pct"/>
            <w:tcBorders>
              <w:left w:val="nil"/>
              <w:right w:val="nil"/>
            </w:tcBorders>
            <w:shd w:val="clear" w:color="auto" w:fill="auto"/>
            <w:noWrap/>
            <w:vAlign w:val="bottom"/>
          </w:tcPr>
          <w:p w:rsidR="006F7F73" w:rsidRPr="006F7F73" w:rsidRDefault="006F7F73" w:rsidP="00704CC0">
            <w:pPr>
              <w:keepNext/>
              <w:keepLines/>
              <w:tabs>
                <w:tab w:val="left" w:pos="567"/>
                <w:tab w:val="left" w:pos="1134"/>
                <w:tab w:val="left" w:pos="1701"/>
                <w:tab w:val="left" w:pos="2268"/>
              </w:tabs>
              <w:jc w:val="right"/>
              <w:rPr>
                <w:rFonts w:cs="Arial"/>
                <w:b/>
                <w:sz w:val="18"/>
                <w:szCs w:val="18"/>
              </w:rPr>
            </w:pPr>
            <w:r w:rsidRPr="006F7F73">
              <w:rPr>
                <w:rFonts w:cs="Arial"/>
                <w:b/>
                <w:sz w:val="18"/>
                <w:szCs w:val="18"/>
              </w:rPr>
              <w:t>Company</w:t>
            </w:r>
          </w:p>
          <w:p w:rsidR="006F7F73" w:rsidRPr="006F7F73" w:rsidRDefault="006F7F73" w:rsidP="00704CC0">
            <w:pPr>
              <w:keepNext/>
              <w:keepLines/>
              <w:tabs>
                <w:tab w:val="left" w:pos="567"/>
                <w:tab w:val="left" w:pos="1134"/>
                <w:tab w:val="left" w:pos="1701"/>
                <w:tab w:val="left" w:pos="2268"/>
              </w:tabs>
              <w:jc w:val="right"/>
              <w:rPr>
                <w:rFonts w:cs="Arial"/>
                <w:b/>
                <w:sz w:val="18"/>
                <w:szCs w:val="18"/>
              </w:rPr>
            </w:pPr>
            <w:r w:rsidRPr="006F7F73">
              <w:rPr>
                <w:rFonts w:cs="Arial"/>
                <w:b/>
                <w:sz w:val="18"/>
                <w:szCs w:val="18"/>
              </w:rPr>
              <w:t>2013</w:t>
            </w:r>
          </w:p>
          <w:p w:rsidR="006F7F73" w:rsidRPr="006F7F73" w:rsidRDefault="006F7F73" w:rsidP="00704CC0">
            <w:pPr>
              <w:keepNext/>
              <w:keepLines/>
              <w:tabs>
                <w:tab w:val="left" w:pos="567"/>
                <w:tab w:val="left" w:pos="1134"/>
                <w:tab w:val="left" w:pos="1701"/>
                <w:tab w:val="left" w:pos="2268"/>
              </w:tabs>
              <w:jc w:val="right"/>
              <w:rPr>
                <w:rFonts w:cs="Arial"/>
                <w:b/>
                <w:sz w:val="18"/>
                <w:szCs w:val="18"/>
              </w:rPr>
            </w:pPr>
            <w:r w:rsidRPr="006F7F73">
              <w:rPr>
                <w:rFonts w:cs="Arial"/>
                <w:b/>
                <w:bCs/>
                <w:sz w:val="18"/>
                <w:szCs w:val="18"/>
              </w:rPr>
              <w:t>£'000</w:t>
            </w:r>
          </w:p>
        </w:tc>
        <w:tc>
          <w:tcPr>
            <w:tcW w:w="667" w:type="pct"/>
            <w:tcBorders>
              <w:left w:val="nil"/>
              <w:right w:val="nil"/>
            </w:tcBorders>
            <w:vAlign w:val="bottom"/>
          </w:tcPr>
          <w:p w:rsidR="006F7F73" w:rsidRPr="006F7F73" w:rsidRDefault="006F7F73" w:rsidP="00704CC0">
            <w:pPr>
              <w:keepNext/>
              <w:keepLines/>
              <w:tabs>
                <w:tab w:val="left" w:pos="567"/>
                <w:tab w:val="left" w:pos="1134"/>
                <w:tab w:val="left" w:pos="1701"/>
                <w:tab w:val="left" w:pos="2268"/>
              </w:tabs>
              <w:jc w:val="right"/>
              <w:rPr>
                <w:rFonts w:cs="Arial"/>
                <w:sz w:val="18"/>
                <w:szCs w:val="18"/>
              </w:rPr>
            </w:pPr>
            <w:r w:rsidRPr="006F7F73">
              <w:rPr>
                <w:rFonts w:cs="Arial"/>
                <w:sz w:val="18"/>
                <w:szCs w:val="18"/>
              </w:rPr>
              <w:t>Group</w:t>
            </w:r>
          </w:p>
          <w:p w:rsidR="006F7F73" w:rsidRPr="006F7F73" w:rsidRDefault="006F7F73" w:rsidP="00704CC0">
            <w:pPr>
              <w:keepNext/>
              <w:keepLines/>
              <w:tabs>
                <w:tab w:val="left" w:pos="567"/>
                <w:tab w:val="left" w:pos="1134"/>
                <w:tab w:val="left" w:pos="1701"/>
                <w:tab w:val="left" w:pos="2268"/>
              </w:tabs>
              <w:jc w:val="right"/>
              <w:rPr>
                <w:rFonts w:cs="Arial"/>
                <w:sz w:val="18"/>
                <w:szCs w:val="18"/>
              </w:rPr>
            </w:pPr>
            <w:r w:rsidRPr="006F7F73">
              <w:rPr>
                <w:rFonts w:cs="Arial"/>
                <w:sz w:val="18"/>
                <w:szCs w:val="18"/>
              </w:rPr>
              <w:t>2012</w:t>
            </w:r>
          </w:p>
          <w:p w:rsidR="006F7F73" w:rsidRPr="006F7F73" w:rsidRDefault="006F7F73" w:rsidP="00704CC0">
            <w:pPr>
              <w:keepNext/>
              <w:keepLines/>
              <w:tabs>
                <w:tab w:val="left" w:pos="567"/>
                <w:tab w:val="left" w:pos="1134"/>
                <w:tab w:val="left" w:pos="1701"/>
                <w:tab w:val="left" w:pos="2268"/>
              </w:tabs>
              <w:jc w:val="right"/>
              <w:rPr>
                <w:rFonts w:cs="Arial"/>
                <w:sz w:val="18"/>
                <w:szCs w:val="18"/>
              </w:rPr>
            </w:pPr>
            <w:r w:rsidRPr="006F7F73">
              <w:rPr>
                <w:rFonts w:cs="Arial"/>
                <w:bCs/>
                <w:sz w:val="18"/>
                <w:szCs w:val="18"/>
              </w:rPr>
              <w:t>£'000</w:t>
            </w:r>
          </w:p>
        </w:tc>
        <w:tc>
          <w:tcPr>
            <w:tcW w:w="667" w:type="pct"/>
            <w:tcBorders>
              <w:left w:val="nil"/>
              <w:right w:val="nil"/>
            </w:tcBorders>
            <w:vAlign w:val="bottom"/>
          </w:tcPr>
          <w:p w:rsidR="006F7F73" w:rsidRPr="006F7F73" w:rsidRDefault="006F7F73" w:rsidP="00704CC0">
            <w:pPr>
              <w:keepNext/>
              <w:keepLines/>
              <w:tabs>
                <w:tab w:val="left" w:pos="567"/>
                <w:tab w:val="left" w:pos="1134"/>
                <w:tab w:val="left" w:pos="1701"/>
                <w:tab w:val="left" w:pos="2268"/>
              </w:tabs>
              <w:jc w:val="right"/>
              <w:rPr>
                <w:rFonts w:cs="Arial"/>
                <w:sz w:val="18"/>
                <w:szCs w:val="18"/>
              </w:rPr>
            </w:pPr>
            <w:r w:rsidRPr="006F7F73">
              <w:rPr>
                <w:rFonts w:cs="Arial"/>
                <w:sz w:val="18"/>
                <w:szCs w:val="18"/>
              </w:rPr>
              <w:t>Company</w:t>
            </w:r>
          </w:p>
          <w:p w:rsidR="006F7F73" w:rsidRPr="006F7F73" w:rsidRDefault="006F7F73" w:rsidP="00704CC0">
            <w:pPr>
              <w:keepNext/>
              <w:keepLines/>
              <w:tabs>
                <w:tab w:val="left" w:pos="567"/>
                <w:tab w:val="left" w:pos="1134"/>
                <w:tab w:val="left" w:pos="1701"/>
                <w:tab w:val="left" w:pos="2268"/>
              </w:tabs>
              <w:jc w:val="right"/>
              <w:rPr>
                <w:rFonts w:cs="Arial"/>
                <w:sz w:val="18"/>
                <w:szCs w:val="18"/>
              </w:rPr>
            </w:pPr>
            <w:r w:rsidRPr="006F7F73">
              <w:rPr>
                <w:rFonts w:cs="Arial"/>
                <w:sz w:val="18"/>
                <w:szCs w:val="18"/>
              </w:rPr>
              <w:t>2012</w:t>
            </w:r>
          </w:p>
          <w:p w:rsidR="006F7F73" w:rsidRPr="006F7F73" w:rsidRDefault="006F7F73" w:rsidP="00704CC0">
            <w:pPr>
              <w:keepNext/>
              <w:keepLines/>
              <w:tabs>
                <w:tab w:val="left" w:pos="567"/>
                <w:tab w:val="left" w:pos="1134"/>
                <w:tab w:val="left" w:pos="1701"/>
                <w:tab w:val="left" w:pos="2268"/>
              </w:tabs>
              <w:jc w:val="right"/>
              <w:rPr>
                <w:rFonts w:cs="Arial"/>
                <w:sz w:val="18"/>
                <w:szCs w:val="18"/>
              </w:rPr>
            </w:pPr>
            <w:r w:rsidRPr="006F7F73">
              <w:rPr>
                <w:rFonts w:cs="Arial"/>
                <w:bCs/>
                <w:sz w:val="18"/>
                <w:szCs w:val="18"/>
              </w:rPr>
              <w:t>£'000</w:t>
            </w:r>
          </w:p>
        </w:tc>
      </w:tr>
      <w:tr w:rsidR="0092140F" w:rsidRPr="006F7F73" w:rsidTr="00562F9C">
        <w:trPr>
          <w:cantSplit/>
          <w:trHeight w:val="20"/>
        </w:trPr>
        <w:tc>
          <w:tcPr>
            <w:tcW w:w="2334" w:type="pct"/>
            <w:tcBorders>
              <w:top w:val="nil"/>
              <w:left w:val="nil"/>
              <w:right w:val="nil"/>
            </w:tcBorders>
            <w:shd w:val="clear" w:color="auto" w:fill="auto"/>
            <w:noWrap/>
            <w:vAlign w:val="bottom"/>
          </w:tcPr>
          <w:p w:rsidR="0092140F" w:rsidRPr="006F7F73" w:rsidRDefault="0092140F" w:rsidP="00704CC0">
            <w:pPr>
              <w:keepNext/>
              <w:keepLines/>
              <w:tabs>
                <w:tab w:val="left" w:pos="567"/>
                <w:tab w:val="left" w:pos="1134"/>
                <w:tab w:val="left" w:pos="1701"/>
                <w:tab w:val="left" w:pos="2268"/>
              </w:tabs>
              <w:ind w:left="567"/>
              <w:rPr>
                <w:rFonts w:cs="Arial"/>
                <w:sz w:val="18"/>
                <w:szCs w:val="18"/>
              </w:rPr>
            </w:pPr>
          </w:p>
        </w:tc>
        <w:tc>
          <w:tcPr>
            <w:tcW w:w="666" w:type="pct"/>
            <w:tcBorders>
              <w:top w:val="nil"/>
              <w:left w:val="nil"/>
              <w:right w:val="nil"/>
            </w:tcBorders>
            <w:shd w:val="clear" w:color="auto" w:fill="auto"/>
            <w:noWrap/>
            <w:vAlign w:val="bottom"/>
          </w:tcPr>
          <w:p w:rsidR="0092140F" w:rsidRPr="006F7F73" w:rsidRDefault="0092140F" w:rsidP="00704CC0">
            <w:pPr>
              <w:keepNext/>
              <w:keepLines/>
              <w:tabs>
                <w:tab w:val="left" w:pos="567"/>
                <w:tab w:val="left" w:pos="1134"/>
                <w:tab w:val="left" w:pos="1701"/>
                <w:tab w:val="left" w:pos="2268"/>
              </w:tabs>
              <w:jc w:val="right"/>
              <w:rPr>
                <w:rFonts w:cs="Arial"/>
                <w:sz w:val="18"/>
                <w:szCs w:val="18"/>
              </w:rPr>
            </w:pPr>
          </w:p>
        </w:tc>
        <w:tc>
          <w:tcPr>
            <w:tcW w:w="667" w:type="pct"/>
            <w:tcBorders>
              <w:top w:val="nil"/>
              <w:left w:val="nil"/>
              <w:right w:val="nil"/>
            </w:tcBorders>
            <w:shd w:val="clear" w:color="auto" w:fill="auto"/>
            <w:noWrap/>
            <w:vAlign w:val="bottom"/>
          </w:tcPr>
          <w:p w:rsidR="0092140F" w:rsidRPr="006F7F73" w:rsidRDefault="0092140F" w:rsidP="00704CC0">
            <w:pPr>
              <w:keepNext/>
              <w:keepLines/>
              <w:tabs>
                <w:tab w:val="left" w:pos="567"/>
                <w:tab w:val="left" w:pos="1134"/>
                <w:tab w:val="left" w:pos="1701"/>
                <w:tab w:val="left" w:pos="2268"/>
              </w:tabs>
              <w:jc w:val="right"/>
              <w:rPr>
                <w:rFonts w:cs="Arial"/>
                <w:sz w:val="18"/>
                <w:szCs w:val="18"/>
              </w:rPr>
            </w:pPr>
          </w:p>
        </w:tc>
        <w:tc>
          <w:tcPr>
            <w:tcW w:w="667" w:type="pct"/>
            <w:tcBorders>
              <w:top w:val="nil"/>
              <w:left w:val="nil"/>
              <w:right w:val="nil"/>
            </w:tcBorders>
            <w:vAlign w:val="bottom"/>
          </w:tcPr>
          <w:p w:rsidR="0092140F" w:rsidRPr="006F7F73" w:rsidRDefault="0092140F" w:rsidP="00704CC0">
            <w:pPr>
              <w:keepNext/>
              <w:keepLines/>
              <w:tabs>
                <w:tab w:val="left" w:pos="567"/>
                <w:tab w:val="left" w:pos="1134"/>
                <w:tab w:val="left" w:pos="1701"/>
                <w:tab w:val="left" w:pos="2268"/>
              </w:tabs>
              <w:jc w:val="right"/>
              <w:rPr>
                <w:rFonts w:cs="Arial"/>
                <w:sz w:val="18"/>
                <w:szCs w:val="18"/>
              </w:rPr>
            </w:pPr>
          </w:p>
        </w:tc>
        <w:tc>
          <w:tcPr>
            <w:tcW w:w="667" w:type="pct"/>
            <w:tcBorders>
              <w:top w:val="nil"/>
              <w:left w:val="nil"/>
              <w:right w:val="nil"/>
            </w:tcBorders>
            <w:vAlign w:val="bottom"/>
          </w:tcPr>
          <w:p w:rsidR="0092140F" w:rsidRPr="006F7F73" w:rsidRDefault="0092140F" w:rsidP="00704CC0">
            <w:pPr>
              <w:keepNext/>
              <w:keepLines/>
              <w:tabs>
                <w:tab w:val="left" w:pos="567"/>
                <w:tab w:val="left" w:pos="1134"/>
                <w:tab w:val="left" w:pos="1701"/>
                <w:tab w:val="left" w:pos="2268"/>
              </w:tabs>
              <w:jc w:val="right"/>
              <w:rPr>
                <w:rFonts w:cs="Arial"/>
                <w:sz w:val="18"/>
                <w:szCs w:val="18"/>
              </w:rPr>
            </w:pPr>
          </w:p>
        </w:tc>
      </w:tr>
      <w:tr w:rsidR="00A56542" w:rsidRPr="006F7F73" w:rsidTr="00562F9C">
        <w:trPr>
          <w:cantSplit/>
          <w:trHeight w:val="20"/>
        </w:trPr>
        <w:tc>
          <w:tcPr>
            <w:tcW w:w="2334" w:type="pct"/>
            <w:tcBorders>
              <w:top w:val="nil"/>
              <w:left w:val="nil"/>
              <w:right w:val="nil"/>
            </w:tcBorders>
            <w:shd w:val="clear" w:color="auto" w:fill="auto"/>
            <w:noWrap/>
            <w:vAlign w:val="bottom"/>
          </w:tcPr>
          <w:p w:rsidR="00A56542" w:rsidRPr="006F7F73" w:rsidRDefault="00A56542" w:rsidP="00704CC0">
            <w:pPr>
              <w:keepNext/>
              <w:keepLines/>
              <w:tabs>
                <w:tab w:val="left" w:pos="567"/>
                <w:tab w:val="left" w:pos="1134"/>
                <w:tab w:val="left" w:pos="1701"/>
                <w:tab w:val="left" w:pos="2268"/>
              </w:tabs>
              <w:ind w:left="567"/>
              <w:rPr>
                <w:rFonts w:cs="Arial"/>
                <w:sz w:val="18"/>
                <w:szCs w:val="18"/>
              </w:rPr>
            </w:pPr>
            <w:r w:rsidRPr="006F7F73">
              <w:rPr>
                <w:rFonts w:cs="Arial"/>
                <w:sz w:val="18"/>
                <w:szCs w:val="18"/>
              </w:rPr>
              <w:t>Cash in current accounts</w:t>
            </w:r>
          </w:p>
        </w:tc>
        <w:tc>
          <w:tcPr>
            <w:tcW w:w="666" w:type="pct"/>
            <w:tcBorders>
              <w:top w:val="nil"/>
              <w:left w:val="nil"/>
              <w:right w:val="nil"/>
            </w:tcBorders>
            <w:shd w:val="clear" w:color="auto" w:fill="auto"/>
            <w:noWrap/>
            <w:vAlign w:val="bottom"/>
          </w:tcPr>
          <w:p w:rsidR="00A56542" w:rsidRPr="006F7F73" w:rsidRDefault="00210B50" w:rsidP="00704CC0">
            <w:pPr>
              <w:keepNext/>
              <w:keepLines/>
              <w:tabs>
                <w:tab w:val="left" w:pos="567"/>
                <w:tab w:val="left" w:pos="1134"/>
                <w:tab w:val="left" w:pos="1701"/>
                <w:tab w:val="left" w:pos="2268"/>
              </w:tabs>
              <w:jc w:val="right"/>
              <w:rPr>
                <w:rFonts w:cs="Arial"/>
                <w:b/>
                <w:sz w:val="18"/>
                <w:szCs w:val="18"/>
              </w:rPr>
            </w:pPr>
            <w:r w:rsidRPr="006F7F73">
              <w:rPr>
                <w:rFonts w:cs="Arial"/>
                <w:b/>
                <w:sz w:val="18"/>
                <w:szCs w:val="18"/>
              </w:rPr>
              <w:t>1,472</w:t>
            </w:r>
          </w:p>
        </w:tc>
        <w:tc>
          <w:tcPr>
            <w:tcW w:w="667" w:type="pct"/>
            <w:tcBorders>
              <w:top w:val="nil"/>
              <w:left w:val="nil"/>
              <w:right w:val="nil"/>
            </w:tcBorders>
            <w:shd w:val="clear" w:color="auto" w:fill="auto"/>
            <w:noWrap/>
            <w:vAlign w:val="bottom"/>
          </w:tcPr>
          <w:p w:rsidR="00A56542" w:rsidRPr="006F7F73" w:rsidRDefault="00210B50" w:rsidP="00704CC0">
            <w:pPr>
              <w:keepNext/>
              <w:keepLines/>
              <w:tabs>
                <w:tab w:val="left" w:pos="567"/>
                <w:tab w:val="left" w:pos="1134"/>
                <w:tab w:val="left" w:pos="1701"/>
                <w:tab w:val="left" w:pos="2268"/>
              </w:tabs>
              <w:jc w:val="right"/>
              <w:rPr>
                <w:rFonts w:cs="Arial"/>
                <w:b/>
                <w:sz w:val="18"/>
                <w:szCs w:val="18"/>
              </w:rPr>
            </w:pPr>
            <w:r w:rsidRPr="006F7F73">
              <w:rPr>
                <w:rFonts w:cs="Arial"/>
                <w:b/>
                <w:sz w:val="18"/>
                <w:szCs w:val="18"/>
              </w:rPr>
              <w:t>815</w:t>
            </w:r>
          </w:p>
        </w:tc>
        <w:tc>
          <w:tcPr>
            <w:tcW w:w="667" w:type="pct"/>
            <w:tcBorders>
              <w:top w:val="nil"/>
              <w:left w:val="nil"/>
              <w:right w:val="nil"/>
            </w:tcBorders>
            <w:vAlign w:val="bottom"/>
          </w:tcPr>
          <w:p w:rsidR="00A56542" w:rsidRPr="006F7F73" w:rsidRDefault="00A56542" w:rsidP="00704CC0">
            <w:pPr>
              <w:keepNext/>
              <w:keepLines/>
              <w:tabs>
                <w:tab w:val="left" w:pos="567"/>
                <w:tab w:val="left" w:pos="1134"/>
                <w:tab w:val="left" w:pos="1701"/>
                <w:tab w:val="left" w:pos="2268"/>
              </w:tabs>
              <w:jc w:val="right"/>
              <w:rPr>
                <w:rFonts w:cs="Arial"/>
                <w:sz w:val="18"/>
                <w:szCs w:val="18"/>
              </w:rPr>
            </w:pPr>
            <w:r w:rsidRPr="006F7F73">
              <w:rPr>
                <w:rFonts w:cs="Arial"/>
                <w:sz w:val="18"/>
                <w:szCs w:val="18"/>
              </w:rPr>
              <w:t>1,564</w:t>
            </w:r>
          </w:p>
        </w:tc>
        <w:tc>
          <w:tcPr>
            <w:tcW w:w="667" w:type="pct"/>
            <w:tcBorders>
              <w:top w:val="nil"/>
              <w:left w:val="nil"/>
              <w:right w:val="nil"/>
            </w:tcBorders>
            <w:vAlign w:val="bottom"/>
          </w:tcPr>
          <w:p w:rsidR="00A56542" w:rsidRPr="006F7F73" w:rsidRDefault="00A56542" w:rsidP="00704CC0">
            <w:pPr>
              <w:keepNext/>
              <w:keepLines/>
              <w:tabs>
                <w:tab w:val="left" w:pos="567"/>
                <w:tab w:val="left" w:pos="1134"/>
                <w:tab w:val="left" w:pos="1701"/>
                <w:tab w:val="left" w:pos="2268"/>
              </w:tabs>
              <w:jc w:val="right"/>
              <w:rPr>
                <w:rFonts w:cs="Arial"/>
                <w:sz w:val="18"/>
                <w:szCs w:val="18"/>
              </w:rPr>
            </w:pPr>
            <w:r w:rsidRPr="006F7F73">
              <w:rPr>
                <w:rFonts w:cs="Arial"/>
                <w:sz w:val="18"/>
                <w:szCs w:val="18"/>
              </w:rPr>
              <w:t>285</w:t>
            </w:r>
          </w:p>
        </w:tc>
      </w:tr>
      <w:tr w:rsidR="00A56542" w:rsidRPr="006F7F73" w:rsidTr="00562F9C">
        <w:trPr>
          <w:cantSplit/>
          <w:trHeight w:val="20"/>
        </w:trPr>
        <w:tc>
          <w:tcPr>
            <w:tcW w:w="2334" w:type="pct"/>
            <w:tcBorders>
              <w:left w:val="nil"/>
              <w:bottom w:val="nil"/>
              <w:right w:val="nil"/>
            </w:tcBorders>
            <w:shd w:val="clear" w:color="auto" w:fill="auto"/>
            <w:noWrap/>
            <w:vAlign w:val="bottom"/>
          </w:tcPr>
          <w:p w:rsidR="00A56542" w:rsidRPr="006F7F73" w:rsidRDefault="00A56542" w:rsidP="00704CC0">
            <w:pPr>
              <w:keepNext/>
              <w:keepLines/>
              <w:tabs>
                <w:tab w:val="left" w:pos="567"/>
                <w:tab w:val="left" w:pos="1134"/>
                <w:tab w:val="left" w:pos="1701"/>
                <w:tab w:val="left" w:pos="2268"/>
              </w:tabs>
              <w:ind w:left="567"/>
              <w:rPr>
                <w:rFonts w:cs="Arial"/>
                <w:sz w:val="18"/>
                <w:szCs w:val="18"/>
              </w:rPr>
            </w:pPr>
            <w:r w:rsidRPr="006F7F73">
              <w:rPr>
                <w:rFonts w:cs="Arial"/>
                <w:sz w:val="18"/>
                <w:szCs w:val="18"/>
              </w:rPr>
              <w:t>Cash in short term deposit  accounts</w:t>
            </w:r>
          </w:p>
        </w:tc>
        <w:tc>
          <w:tcPr>
            <w:tcW w:w="666" w:type="pct"/>
            <w:tcBorders>
              <w:left w:val="nil"/>
              <w:bottom w:val="single" w:sz="4" w:space="0" w:color="auto"/>
              <w:right w:val="nil"/>
            </w:tcBorders>
            <w:shd w:val="clear" w:color="auto" w:fill="auto"/>
            <w:noWrap/>
            <w:vAlign w:val="bottom"/>
          </w:tcPr>
          <w:p w:rsidR="00A56542" w:rsidRPr="006F7F73" w:rsidRDefault="00210B50" w:rsidP="00704CC0">
            <w:pPr>
              <w:keepNext/>
              <w:keepLines/>
              <w:tabs>
                <w:tab w:val="left" w:pos="567"/>
                <w:tab w:val="left" w:pos="1134"/>
                <w:tab w:val="left" w:pos="1701"/>
                <w:tab w:val="left" w:pos="2268"/>
              </w:tabs>
              <w:jc w:val="right"/>
              <w:rPr>
                <w:rFonts w:cs="Arial"/>
                <w:b/>
                <w:sz w:val="18"/>
                <w:szCs w:val="18"/>
              </w:rPr>
            </w:pPr>
            <w:r w:rsidRPr="006F7F73">
              <w:rPr>
                <w:rFonts w:cs="Arial"/>
                <w:b/>
                <w:sz w:val="18"/>
                <w:szCs w:val="18"/>
              </w:rPr>
              <w:t>-</w:t>
            </w:r>
          </w:p>
        </w:tc>
        <w:tc>
          <w:tcPr>
            <w:tcW w:w="667" w:type="pct"/>
            <w:tcBorders>
              <w:left w:val="nil"/>
              <w:bottom w:val="single" w:sz="4" w:space="0" w:color="auto"/>
              <w:right w:val="nil"/>
            </w:tcBorders>
            <w:shd w:val="clear" w:color="auto" w:fill="auto"/>
            <w:noWrap/>
            <w:vAlign w:val="bottom"/>
          </w:tcPr>
          <w:p w:rsidR="00A56542" w:rsidRPr="006F7F73" w:rsidRDefault="00210B50" w:rsidP="00704CC0">
            <w:pPr>
              <w:keepNext/>
              <w:keepLines/>
              <w:tabs>
                <w:tab w:val="left" w:pos="567"/>
                <w:tab w:val="left" w:pos="1134"/>
                <w:tab w:val="left" w:pos="1701"/>
                <w:tab w:val="left" w:pos="2268"/>
              </w:tabs>
              <w:jc w:val="right"/>
              <w:rPr>
                <w:rFonts w:cs="Arial"/>
                <w:b/>
                <w:sz w:val="18"/>
                <w:szCs w:val="18"/>
              </w:rPr>
            </w:pPr>
            <w:r w:rsidRPr="006F7F73">
              <w:rPr>
                <w:rFonts w:cs="Arial"/>
                <w:b/>
                <w:sz w:val="18"/>
                <w:szCs w:val="18"/>
              </w:rPr>
              <w:t>-</w:t>
            </w:r>
          </w:p>
        </w:tc>
        <w:tc>
          <w:tcPr>
            <w:tcW w:w="667" w:type="pct"/>
            <w:tcBorders>
              <w:left w:val="nil"/>
              <w:bottom w:val="single" w:sz="4" w:space="0" w:color="auto"/>
              <w:right w:val="nil"/>
            </w:tcBorders>
            <w:vAlign w:val="bottom"/>
          </w:tcPr>
          <w:p w:rsidR="00A56542" w:rsidRPr="006F7F73" w:rsidRDefault="00A56542" w:rsidP="00704CC0">
            <w:pPr>
              <w:keepNext/>
              <w:keepLines/>
              <w:tabs>
                <w:tab w:val="left" w:pos="567"/>
                <w:tab w:val="left" w:pos="1134"/>
                <w:tab w:val="left" w:pos="1701"/>
                <w:tab w:val="left" w:pos="2268"/>
              </w:tabs>
              <w:jc w:val="right"/>
              <w:rPr>
                <w:rFonts w:cs="Arial"/>
                <w:sz w:val="18"/>
                <w:szCs w:val="18"/>
              </w:rPr>
            </w:pPr>
            <w:r w:rsidRPr="006F7F73">
              <w:rPr>
                <w:rFonts w:cs="Arial"/>
                <w:sz w:val="18"/>
                <w:szCs w:val="18"/>
              </w:rPr>
              <w:t>2,212</w:t>
            </w:r>
          </w:p>
        </w:tc>
        <w:tc>
          <w:tcPr>
            <w:tcW w:w="667" w:type="pct"/>
            <w:tcBorders>
              <w:left w:val="nil"/>
              <w:bottom w:val="single" w:sz="4" w:space="0" w:color="auto"/>
              <w:right w:val="nil"/>
            </w:tcBorders>
            <w:vAlign w:val="bottom"/>
          </w:tcPr>
          <w:p w:rsidR="00A56542" w:rsidRPr="006F7F73" w:rsidRDefault="00A56542" w:rsidP="00704CC0">
            <w:pPr>
              <w:keepNext/>
              <w:keepLines/>
              <w:tabs>
                <w:tab w:val="left" w:pos="567"/>
                <w:tab w:val="left" w:pos="1134"/>
                <w:tab w:val="left" w:pos="1701"/>
                <w:tab w:val="left" w:pos="2268"/>
              </w:tabs>
              <w:jc w:val="right"/>
              <w:rPr>
                <w:rFonts w:cs="Arial"/>
                <w:sz w:val="18"/>
                <w:szCs w:val="18"/>
              </w:rPr>
            </w:pPr>
            <w:r w:rsidRPr="006F7F73">
              <w:rPr>
                <w:rFonts w:cs="Arial"/>
                <w:sz w:val="18"/>
                <w:szCs w:val="18"/>
              </w:rPr>
              <w:t>2,212</w:t>
            </w:r>
          </w:p>
        </w:tc>
      </w:tr>
      <w:tr w:rsidR="00A56542" w:rsidRPr="006F7F73" w:rsidTr="00562F9C">
        <w:trPr>
          <w:cantSplit/>
          <w:trHeight w:val="20"/>
        </w:trPr>
        <w:tc>
          <w:tcPr>
            <w:tcW w:w="2334" w:type="pct"/>
            <w:tcBorders>
              <w:top w:val="nil"/>
              <w:left w:val="nil"/>
              <w:bottom w:val="nil"/>
              <w:right w:val="nil"/>
            </w:tcBorders>
            <w:shd w:val="clear" w:color="auto" w:fill="auto"/>
            <w:noWrap/>
            <w:vAlign w:val="bottom"/>
          </w:tcPr>
          <w:p w:rsidR="00A56542" w:rsidRPr="006F7F73" w:rsidRDefault="00A56542" w:rsidP="00704CC0">
            <w:pPr>
              <w:tabs>
                <w:tab w:val="left" w:pos="567"/>
                <w:tab w:val="left" w:pos="1134"/>
                <w:tab w:val="left" w:pos="1701"/>
                <w:tab w:val="left" w:pos="2268"/>
              </w:tabs>
              <w:rPr>
                <w:rFonts w:cs="Arial"/>
                <w:sz w:val="18"/>
                <w:szCs w:val="18"/>
              </w:rPr>
            </w:pPr>
          </w:p>
        </w:tc>
        <w:tc>
          <w:tcPr>
            <w:tcW w:w="666" w:type="pct"/>
            <w:tcBorders>
              <w:top w:val="single" w:sz="4" w:space="0" w:color="auto"/>
              <w:left w:val="nil"/>
              <w:bottom w:val="single" w:sz="4" w:space="0" w:color="auto"/>
              <w:right w:val="nil"/>
            </w:tcBorders>
            <w:shd w:val="clear" w:color="auto" w:fill="auto"/>
            <w:noWrap/>
            <w:vAlign w:val="bottom"/>
          </w:tcPr>
          <w:p w:rsidR="00A56542" w:rsidRPr="006F7F73" w:rsidRDefault="00210B50" w:rsidP="00704CC0">
            <w:pPr>
              <w:tabs>
                <w:tab w:val="left" w:pos="567"/>
                <w:tab w:val="left" w:pos="1134"/>
                <w:tab w:val="left" w:pos="1701"/>
                <w:tab w:val="left" w:pos="2268"/>
              </w:tabs>
              <w:jc w:val="right"/>
              <w:rPr>
                <w:rFonts w:cs="Arial"/>
                <w:b/>
                <w:sz w:val="18"/>
                <w:szCs w:val="18"/>
              </w:rPr>
            </w:pPr>
            <w:r w:rsidRPr="006F7F73">
              <w:rPr>
                <w:rFonts w:cs="Arial"/>
                <w:b/>
                <w:sz w:val="18"/>
                <w:szCs w:val="18"/>
              </w:rPr>
              <w:t>1,472</w:t>
            </w:r>
          </w:p>
        </w:tc>
        <w:tc>
          <w:tcPr>
            <w:tcW w:w="667" w:type="pct"/>
            <w:tcBorders>
              <w:top w:val="single" w:sz="4" w:space="0" w:color="auto"/>
              <w:left w:val="nil"/>
              <w:bottom w:val="single" w:sz="4" w:space="0" w:color="auto"/>
              <w:right w:val="nil"/>
            </w:tcBorders>
            <w:shd w:val="clear" w:color="auto" w:fill="auto"/>
            <w:noWrap/>
            <w:vAlign w:val="bottom"/>
          </w:tcPr>
          <w:p w:rsidR="00A56542" w:rsidRPr="006F7F73" w:rsidRDefault="00210B50" w:rsidP="00704CC0">
            <w:pPr>
              <w:tabs>
                <w:tab w:val="left" w:pos="567"/>
                <w:tab w:val="left" w:pos="1134"/>
                <w:tab w:val="left" w:pos="1701"/>
                <w:tab w:val="left" w:pos="2268"/>
              </w:tabs>
              <w:jc w:val="right"/>
              <w:rPr>
                <w:rFonts w:cs="Arial"/>
                <w:b/>
                <w:sz w:val="18"/>
                <w:szCs w:val="18"/>
              </w:rPr>
            </w:pPr>
            <w:r w:rsidRPr="006F7F73">
              <w:rPr>
                <w:rFonts w:cs="Arial"/>
                <w:b/>
                <w:sz w:val="18"/>
                <w:szCs w:val="18"/>
              </w:rPr>
              <w:t>815</w:t>
            </w:r>
          </w:p>
        </w:tc>
        <w:tc>
          <w:tcPr>
            <w:tcW w:w="667" w:type="pct"/>
            <w:tcBorders>
              <w:top w:val="single" w:sz="4" w:space="0" w:color="auto"/>
              <w:left w:val="nil"/>
              <w:bottom w:val="single" w:sz="4" w:space="0" w:color="auto"/>
              <w:right w:val="nil"/>
            </w:tcBorders>
            <w:vAlign w:val="bottom"/>
          </w:tcPr>
          <w:p w:rsidR="00A56542" w:rsidRPr="006F7F73" w:rsidRDefault="00A56542" w:rsidP="00704CC0">
            <w:pPr>
              <w:tabs>
                <w:tab w:val="left" w:pos="567"/>
                <w:tab w:val="left" w:pos="1134"/>
                <w:tab w:val="left" w:pos="1701"/>
                <w:tab w:val="left" w:pos="2268"/>
              </w:tabs>
              <w:jc w:val="right"/>
              <w:rPr>
                <w:rFonts w:cs="Arial"/>
                <w:sz w:val="18"/>
                <w:szCs w:val="18"/>
              </w:rPr>
            </w:pPr>
            <w:r w:rsidRPr="006F7F73">
              <w:rPr>
                <w:rFonts w:cs="Arial"/>
                <w:sz w:val="18"/>
                <w:szCs w:val="18"/>
              </w:rPr>
              <w:t>3,776</w:t>
            </w:r>
          </w:p>
        </w:tc>
        <w:tc>
          <w:tcPr>
            <w:tcW w:w="667" w:type="pct"/>
            <w:tcBorders>
              <w:top w:val="single" w:sz="4" w:space="0" w:color="auto"/>
              <w:left w:val="nil"/>
              <w:bottom w:val="single" w:sz="4" w:space="0" w:color="auto"/>
              <w:right w:val="nil"/>
            </w:tcBorders>
            <w:vAlign w:val="bottom"/>
          </w:tcPr>
          <w:p w:rsidR="00A56542" w:rsidRPr="006F7F73" w:rsidRDefault="00A56542" w:rsidP="00704CC0">
            <w:pPr>
              <w:tabs>
                <w:tab w:val="left" w:pos="567"/>
                <w:tab w:val="left" w:pos="1134"/>
                <w:tab w:val="left" w:pos="1701"/>
                <w:tab w:val="left" w:pos="2268"/>
              </w:tabs>
              <w:jc w:val="right"/>
              <w:rPr>
                <w:rFonts w:cs="Arial"/>
                <w:sz w:val="18"/>
                <w:szCs w:val="18"/>
              </w:rPr>
            </w:pPr>
            <w:r w:rsidRPr="006F7F73">
              <w:rPr>
                <w:rFonts w:cs="Arial"/>
                <w:sz w:val="18"/>
                <w:szCs w:val="18"/>
              </w:rPr>
              <w:t>2,497</w:t>
            </w:r>
          </w:p>
        </w:tc>
      </w:tr>
    </w:tbl>
    <w:p w:rsidR="00863596" w:rsidRPr="008B20B2" w:rsidRDefault="0092140F" w:rsidP="00704CC0">
      <w:pPr>
        <w:keepNext/>
        <w:keepLines/>
        <w:numPr>
          <w:ilvl w:val="0"/>
          <w:numId w:val="4"/>
        </w:numPr>
        <w:tabs>
          <w:tab w:val="clear" w:pos="810"/>
          <w:tab w:val="left" w:pos="567"/>
          <w:tab w:val="left" w:pos="1134"/>
          <w:tab w:val="left" w:pos="1701"/>
          <w:tab w:val="left" w:pos="2268"/>
        </w:tabs>
        <w:spacing w:before="240" w:after="120"/>
        <w:ind w:left="567" w:hanging="567"/>
        <w:rPr>
          <w:rFonts w:cs="Arial"/>
          <w:b/>
        </w:rPr>
      </w:pPr>
      <w:r w:rsidRPr="008B20B2">
        <w:rPr>
          <w:rFonts w:cs="Arial"/>
          <w:b/>
        </w:rPr>
        <w:t>Payables</w:t>
      </w:r>
    </w:p>
    <w:tbl>
      <w:tblPr>
        <w:tblW w:w="8953" w:type="dxa"/>
        <w:tblLayout w:type="fixed"/>
        <w:tblCellMar>
          <w:top w:w="28" w:type="dxa"/>
          <w:left w:w="57" w:type="dxa"/>
          <w:bottom w:w="28" w:type="dxa"/>
          <w:right w:w="57" w:type="dxa"/>
        </w:tblCellMar>
        <w:tblLook w:val="0000"/>
      </w:tblPr>
      <w:tblGrid>
        <w:gridCol w:w="4180"/>
        <w:gridCol w:w="1194"/>
        <w:gridCol w:w="1194"/>
        <w:gridCol w:w="1194"/>
        <w:gridCol w:w="1191"/>
      </w:tblGrid>
      <w:tr w:rsidR="008B20B2" w:rsidRPr="008B20B2" w:rsidTr="00562F9C">
        <w:trPr>
          <w:cantSplit/>
          <w:trHeight w:val="20"/>
        </w:trPr>
        <w:tc>
          <w:tcPr>
            <w:tcW w:w="2334" w:type="pct"/>
            <w:tcBorders>
              <w:top w:val="nil"/>
              <w:left w:val="nil"/>
              <w:right w:val="nil"/>
            </w:tcBorders>
            <w:shd w:val="clear" w:color="auto" w:fill="auto"/>
            <w:noWrap/>
            <w:vAlign w:val="bottom"/>
          </w:tcPr>
          <w:p w:rsidR="008B20B2" w:rsidRPr="008B20B2" w:rsidRDefault="008B20B2" w:rsidP="00704CC0">
            <w:pPr>
              <w:keepNext/>
              <w:keepLines/>
              <w:tabs>
                <w:tab w:val="left" w:pos="567"/>
                <w:tab w:val="left" w:pos="1134"/>
                <w:tab w:val="left" w:pos="1701"/>
                <w:tab w:val="left" w:pos="2268"/>
              </w:tabs>
              <w:ind w:left="567"/>
              <w:rPr>
                <w:rFonts w:cs="Arial"/>
                <w:b/>
                <w:sz w:val="18"/>
                <w:szCs w:val="18"/>
              </w:rPr>
            </w:pPr>
          </w:p>
        </w:tc>
        <w:tc>
          <w:tcPr>
            <w:tcW w:w="667" w:type="pct"/>
            <w:tcBorders>
              <w:left w:val="nil"/>
              <w:right w:val="nil"/>
            </w:tcBorders>
            <w:shd w:val="clear" w:color="auto" w:fill="auto"/>
            <w:noWrap/>
            <w:vAlign w:val="bottom"/>
          </w:tcPr>
          <w:p w:rsidR="008B20B2" w:rsidRPr="008B20B2" w:rsidRDefault="008B20B2" w:rsidP="00704CC0">
            <w:pPr>
              <w:keepNext/>
              <w:keepLines/>
              <w:tabs>
                <w:tab w:val="left" w:pos="567"/>
                <w:tab w:val="left" w:pos="1134"/>
                <w:tab w:val="left" w:pos="1701"/>
                <w:tab w:val="left" w:pos="2268"/>
              </w:tabs>
              <w:jc w:val="right"/>
              <w:rPr>
                <w:rFonts w:cs="Arial"/>
                <w:b/>
                <w:sz w:val="18"/>
                <w:szCs w:val="18"/>
              </w:rPr>
            </w:pPr>
            <w:r w:rsidRPr="008B20B2">
              <w:rPr>
                <w:rFonts w:cs="Arial"/>
                <w:b/>
                <w:sz w:val="18"/>
                <w:szCs w:val="18"/>
              </w:rPr>
              <w:t>Group</w:t>
            </w:r>
          </w:p>
          <w:p w:rsidR="008B20B2" w:rsidRPr="008B20B2" w:rsidRDefault="008B20B2" w:rsidP="00704CC0">
            <w:pPr>
              <w:keepNext/>
              <w:keepLines/>
              <w:tabs>
                <w:tab w:val="left" w:pos="567"/>
                <w:tab w:val="left" w:pos="1134"/>
                <w:tab w:val="left" w:pos="1701"/>
                <w:tab w:val="left" w:pos="2268"/>
              </w:tabs>
              <w:jc w:val="right"/>
              <w:rPr>
                <w:rFonts w:cs="Arial"/>
                <w:b/>
                <w:sz w:val="18"/>
                <w:szCs w:val="18"/>
              </w:rPr>
            </w:pPr>
            <w:r w:rsidRPr="008B20B2">
              <w:rPr>
                <w:rFonts w:cs="Arial"/>
                <w:b/>
                <w:sz w:val="18"/>
                <w:szCs w:val="18"/>
              </w:rPr>
              <w:t>2013</w:t>
            </w:r>
          </w:p>
          <w:p w:rsidR="008B20B2" w:rsidRPr="008B20B2" w:rsidRDefault="008B20B2" w:rsidP="00704CC0">
            <w:pPr>
              <w:keepNext/>
              <w:keepLines/>
              <w:tabs>
                <w:tab w:val="left" w:pos="567"/>
                <w:tab w:val="left" w:pos="1134"/>
                <w:tab w:val="left" w:pos="1701"/>
                <w:tab w:val="left" w:pos="2268"/>
              </w:tabs>
              <w:jc w:val="right"/>
              <w:rPr>
                <w:rFonts w:cs="Arial"/>
                <w:b/>
                <w:sz w:val="18"/>
                <w:szCs w:val="18"/>
              </w:rPr>
            </w:pPr>
            <w:r w:rsidRPr="008B20B2">
              <w:rPr>
                <w:rFonts w:cs="Arial"/>
                <w:b/>
                <w:bCs/>
                <w:sz w:val="18"/>
                <w:szCs w:val="18"/>
              </w:rPr>
              <w:t>£'000</w:t>
            </w:r>
          </w:p>
        </w:tc>
        <w:tc>
          <w:tcPr>
            <w:tcW w:w="667" w:type="pct"/>
            <w:tcBorders>
              <w:left w:val="nil"/>
              <w:right w:val="nil"/>
            </w:tcBorders>
            <w:shd w:val="clear" w:color="auto" w:fill="auto"/>
            <w:noWrap/>
            <w:vAlign w:val="bottom"/>
          </w:tcPr>
          <w:p w:rsidR="008B20B2" w:rsidRPr="008B20B2" w:rsidRDefault="008B20B2" w:rsidP="00704CC0">
            <w:pPr>
              <w:keepNext/>
              <w:keepLines/>
              <w:tabs>
                <w:tab w:val="left" w:pos="567"/>
                <w:tab w:val="left" w:pos="1134"/>
                <w:tab w:val="left" w:pos="1701"/>
                <w:tab w:val="left" w:pos="2268"/>
              </w:tabs>
              <w:jc w:val="right"/>
              <w:rPr>
                <w:rFonts w:cs="Arial"/>
                <w:b/>
                <w:sz w:val="18"/>
                <w:szCs w:val="18"/>
              </w:rPr>
            </w:pPr>
            <w:r w:rsidRPr="008B20B2">
              <w:rPr>
                <w:rFonts w:cs="Arial"/>
                <w:b/>
                <w:sz w:val="18"/>
                <w:szCs w:val="18"/>
              </w:rPr>
              <w:t>Company</w:t>
            </w:r>
          </w:p>
          <w:p w:rsidR="008B20B2" w:rsidRPr="008B20B2" w:rsidRDefault="008B20B2" w:rsidP="00704CC0">
            <w:pPr>
              <w:keepNext/>
              <w:keepLines/>
              <w:tabs>
                <w:tab w:val="left" w:pos="567"/>
                <w:tab w:val="left" w:pos="1134"/>
                <w:tab w:val="left" w:pos="1701"/>
                <w:tab w:val="left" w:pos="2268"/>
              </w:tabs>
              <w:jc w:val="right"/>
              <w:rPr>
                <w:rFonts w:cs="Arial"/>
                <w:b/>
                <w:sz w:val="18"/>
                <w:szCs w:val="18"/>
              </w:rPr>
            </w:pPr>
            <w:r w:rsidRPr="008B20B2">
              <w:rPr>
                <w:rFonts w:cs="Arial"/>
                <w:b/>
                <w:sz w:val="18"/>
                <w:szCs w:val="18"/>
              </w:rPr>
              <w:t>2013</w:t>
            </w:r>
          </w:p>
          <w:p w:rsidR="008B20B2" w:rsidRPr="008B20B2" w:rsidRDefault="008B20B2" w:rsidP="00704CC0">
            <w:pPr>
              <w:keepNext/>
              <w:keepLines/>
              <w:tabs>
                <w:tab w:val="left" w:pos="567"/>
                <w:tab w:val="left" w:pos="1134"/>
                <w:tab w:val="left" w:pos="1701"/>
                <w:tab w:val="left" w:pos="2268"/>
              </w:tabs>
              <w:jc w:val="right"/>
              <w:rPr>
                <w:rFonts w:cs="Arial"/>
                <w:b/>
                <w:sz w:val="18"/>
                <w:szCs w:val="18"/>
              </w:rPr>
            </w:pPr>
            <w:r w:rsidRPr="008B20B2">
              <w:rPr>
                <w:rFonts w:cs="Arial"/>
                <w:b/>
                <w:bCs/>
                <w:sz w:val="18"/>
                <w:szCs w:val="18"/>
              </w:rPr>
              <w:t>£'000</w:t>
            </w:r>
          </w:p>
        </w:tc>
        <w:tc>
          <w:tcPr>
            <w:tcW w:w="667" w:type="pct"/>
            <w:tcBorders>
              <w:left w:val="nil"/>
              <w:right w:val="nil"/>
            </w:tcBorders>
            <w:vAlign w:val="bottom"/>
          </w:tcPr>
          <w:p w:rsidR="008B20B2" w:rsidRPr="008B20B2" w:rsidRDefault="008B20B2" w:rsidP="00704CC0">
            <w:pPr>
              <w:keepNext/>
              <w:keepLines/>
              <w:tabs>
                <w:tab w:val="left" w:pos="567"/>
                <w:tab w:val="left" w:pos="1134"/>
                <w:tab w:val="left" w:pos="1701"/>
                <w:tab w:val="left" w:pos="2268"/>
              </w:tabs>
              <w:jc w:val="right"/>
              <w:rPr>
                <w:rFonts w:cs="Arial"/>
                <w:sz w:val="18"/>
                <w:szCs w:val="18"/>
              </w:rPr>
            </w:pPr>
            <w:r w:rsidRPr="008B20B2">
              <w:rPr>
                <w:rFonts w:cs="Arial"/>
                <w:sz w:val="18"/>
                <w:szCs w:val="18"/>
              </w:rPr>
              <w:t>Group</w:t>
            </w:r>
          </w:p>
          <w:p w:rsidR="008B20B2" w:rsidRPr="008B20B2" w:rsidRDefault="008B20B2" w:rsidP="00704CC0">
            <w:pPr>
              <w:keepNext/>
              <w:keepLines/>
              <w:tabs>
                <w:tab w:val="left" w:pos="567"/>
                <w:tab w:val="left" w:pos="1134"/>
                <w:tab w:val="left" w:pos="1701"/>
                <w:tab w:val="left" w:pos="2268"/>
              </w:tabs>
              <w:jc w:val="right"/>
              <w:rPr>
                <w:rFonts w:cs="Arial"/>
                <w:sz w:val="18"/>
                <w:szCs w:val="18"/>
              </w:rPr>
            </w:pPr>
            <w:r w:rsidRPr="008B20B2">
              <w:rPr>
                <w:rFonts w:cs="Arial"/>
                <w:sz w:val="18"/>
                <w:szCs w:val="18"/>
              </w:rPr>
              <w:t>2012</w:t>
            </w:r>
          </w:p>
          <w:p w:rsidR="008B20B2" w:rsidRPr="008B20B2" w:rsidRDefault="008B20B2" w:rsidP="00704CC0">
            <w:pPr>
              <w:keepNext/>
              <w:keepLines/>
              <w:tabs>
                <w:tab w:val="left" w:pos="567"/>
                <w:tab w:val="left" w:pos="1134"/>
                <w:tab w:val="left" w:pos="1701"/>
                <w:tab w:val="left" w:pos="2268"/>
              </w:tabs>
              <w:jc w:val="right"/>
              <w:rPr>
                <w:rFonts w:cs="Arial"/>
                <w:sz w:val="18"/>
                <w:szCs w:val="18"/>
              </w:rPr>
            </w:pPr>
            <w:r w:rsidRPr="008B20B2">
              <w:rPr>
                <w:rFonts w:cs="Arial"/>
                <w:bCs/>
                <w:sz w:val="18"/>
                <w:szCs w:val="18"/>
              </w:rPr>
              <w:t>£'000</w:t>
            </w:r>
          </w:p>
        </w:tc>
        <w:tc>
          <w:tcPr>
            <w:tcW w:w="667" w:type="pct"/>
            <w:tcBorders>
              <w:left w:val="nil"/>
              <w:right w:val="nil"/>
            </w:tcBorders>
            <w:vAlign w:val="bottom"/>
          </w:tcPr>
          <w:p w:rsidR="008B20B2" w:rsidRPr="008B20B2" w:rsidRDefault="008B20B2" w:rsidP="00704CC0">
            <w:pPr>
              <w:keepNext/>
              <w:keepLines/>
              <w:tabs>
                <w:tab w:val="left" w:pos="567"/>
                <w:tab w:val="left" w:pos="1134"/>
                <w:tab w:val="left" w:pos="1701"/>
                <w:tab w:val="left" w:pos="2268"/>
              </w:tabs>
              <w:jc w:val="right"/>
              <w:rPr>
                <w:rFonts w:cs="Arial"/>
                <w:sz w:val="18"/>
                <w:szCs w:val="18"/>
              </w:rPr>
            </w:pPr>
            <w:r w:rsidRPr="008B20B2">
              <w:rPr>
                <w:rFonts w:cs="Arial"/>
                <w:sz w:val="18"/>
                <w:szCs w:val="18"/>
              </w:rPr>
              <w:t>Company</w:t>
            </w:r>
          </w:p>
          <w:p w:rsidR="008B20B2" w:rsidRPr="008B20B2" w:rsidRDefault="008B20B2" w:rsidP="00704CC0">
            <w:pPr>
              <w:keepNext/>
              <w:keepLines/>
              <w:tabs>
                <w:tab w:val="left" w:pos="567"/>
                <w:tab w:val="left" w:pos="1134"/>
                <w:tab w:val="left" w:pos="1701"/>
                <w:tab w:val="left" w:pos="2268"/>
              </w:tabs>
              <w:jc w:val="right"/>
              <w:rPr>
                <w:rFonts w:cs="Arial"/>
                <w:sz w:val="18"/>
                <w:szCs w:val="18"/>
              </w:rPr>
            </w:pPr>
            <w:r w:rsidRPr="008B20B2">
              <w:rPr>
                <w:rFonts w:cs="Arial"/>
                <w:sz w:val="18"/>
                <w:szCs w:val="18"/>
              </w:rPr>
              <w:t>2012</w:t>
            </w:r>
          </w:p>
          <w:p w:rsidR="008B20B2" w:rsidRPr="008B20B2" w:rsidRDefault="008B20B2" w:rsidP="00704CC0">
            <w:pPr>
              <w:keepNext/>
              <w:keepLines/>
              <w:tabs>
                <w:tab w:val="left" w:pos="567"/>
                <w:tab w:val="left" w:pos="1134"/>
                <w:tab w:val="left" w:pos="1701"/>
                <w:tab w:val="left" w:pos="2268"/>
              </w:tabs>
              <w:jc w:val="right"/>
              <w:rPr>
                <w:rFonts w:cs="Arial"/>
                <w:sz w:val="18"/>
                <w:szCs w:val="18"/>
              </w:rPr>
            </w:pPr>
            <w:r w:rsidRPr="008B20B2">
              <w:rPr>
                <w:rFonts w:cs="Arial"/>
                <w:bCs/>
                <w:sz w:val="18"/>
                <w:szCs w:val="18"/>
              </w:rPr>
              <w:t>£'000</w:t>
            </w:r>
          </w:p>
        </w:tc>
      </w:tr>
      <w:tr w:rsidR="0092140F" w:rsidRPr="008B20B2" w:rsidTr="00562F9C">
        <w:trPr>
          <w:cantSplit/>
          <w:trHeight w:val="20"/>
        </w:trPr>
        <w:tc>
          <w:tcPr>
            <w:tcW w:w="2334" w:type="pct"/>
            <w:tcBorders>
              <w:top w:val="nil"/>
              <w:left w:val="nil"/>
              <w:bottom w:val="nil"/>
              <w:right w:val="nil"/>
            </w:tcBorders>
            <w:shd w:val="clear" w:color="auto" w:fill="auto"/>
            <w:noWrap/>
            <w:vAlign w:val="bottom"/>
          </w:tcPr>
          <w:p w:rsidR="0092140F" w:rsidRPr="008B20B2" w:rsidRDefault="0092140F" w:rsidP="00704CC0">
            <w:pPr>
              <w:keepNext/>
              <w:keepLines/>
              <w:tabs>
                <w:tab w:val="left" w:pos="567"/>
                <w:tab w:val="left" w:pos="1134"/>
                <w:tab w:val="left" w:pos="1701"/>
                <w:tab w:val="left" w:pos="2268"/>
              </w:tabs>
              <w:ind w:left="567"/>
              <w:rPr>
                <w:rFonts w:cs="Arial"/>
                <w:sz w:val="18"/>
                <w:szCs w:val="18"/>
              </w:rPr>
            </w:pPr>
          </w:p>
        </w:tc>
        <w:tc>
          <w:tcPr>
            <w:tcW w:w="667" w:type="pct"/>
            <w:tcBorders>
              <w:top w:val="nil"/>
              <w:left w:val="nil"/>
              <w:right w:val="nil"/>
            </w:tcBorders>
            <w:shd w:val="clear" w:color="auto" w:fill="auto"/>
            <w:noWrap/>
            <w:vAlign w:val="bottom"/>
          </w:tcPr>
          <w:p w:rsidR="0092140F" w:rsidRPr="008B20B2" w:rsidRDefault="0092140F" w:rsidP="00704CC0">
            <w:pPr>
              <w:keepNext/>
              <w:keepLines/>
              <w:tabs>
                <w:tab w:val="left" w:pos="567"/>
                <w:tab w:val="left" w:pos="1134"/>
                <w:tab w:val="left" w:pos="1701"/>
                <w:tab w:val="left" w:pos="2268"/>
              </w:tabs>
              <w:jc w:val="right"/>
              <w:rPr>
                <w:rFonts w:cs="Arial"/>
                <w:sz w:val="18"/>
                <w:szCs w:val="18"/>
              </w:rPr>
            </w:pPr>
          </w:p>
        </w:tc>
        <w:tc>
          <w:tcPr>
            <w:tcW w:w="667" w:type="pct"/>
            <w:tcBorders>
              <w:top w:val="nil"/>
              <w:left w:val="nil"/>
              <w:right w:val="nil"/>
            </w:tcBorders>
            <w:shd w:val="clear" w:color="auto" w:fill="auto"/>
            <w:noWrap/>
            <w:vAlign w:val="bottom"/>
          </w:tcPr>
          <w:p w:rsidR="0092140F" w:rsidRPr="008B20B2" w:rsidRDefault="0092140F" w:rsidP="00704CC0">
            <w:pPr>
              <w:keepNext/>
              <w:keepLines/>
              <w:tabs>
                <w:tab w:val="left" w:pos="567"/>
                <w:tab w:val="left" w:pos="1134"/>
                <w:tab w:val="left" w:pos="1701"/>
                <w:tab w:val="left" w:pos="2268"/>
              </w:tabs>
              <w:jc w:val="right"/>
              <w:rPr>
                <w:rFonts w:cs="Arial"/>
                <w:sz w:val="18"/>
                <w:szCs w:val="18"/>
              </w:rPr>
            </w:pPr>
          </w:p>
        </w:tc>
        <w:tc>
          <w:tcPr>
            <w:tcW w:w="667" w:type="pct"/>
            <w:tcBorders>
              <w:top w:val="nil"/>
              <w:left w:val="nil"/>
              <w:right w:val="nil"/>
            </w:tcBorders>
            <w:vAlign w:val="bottom"/>
          </w:tcPr>
          <w:p w:rsidR="0092140F" w:rsidRPr="008B20B2" w:rsidRDefault="0092140F" w:rsidP="00704CC0">
            <w:pPr>
              <w:keepNext/>
              <w:keepLines/>
              <w:tabs>
                <w:tab w:val="left" w:pos="567"/>
                <w:tab w:val="left" w:pos="1134"/>
                <w:tab w:val="left" w:pos="1701"/>
                <w:tab w:val="left" w:pos="2268"/>
              </w:tabs>
              <w:jc w:val="right"/>
              <w:rPr>
                <w:rFonts w:cs="Arial"/>
                <w:sz w:val="18"/>
                <w:szCs w:val="18"/>
              </w:rPr>
            </w:pPr>
          </w:p>
        </w:tc>
        <w:tc>
          <w:tcPr>
            <w:tcW w:w="667" w:type="pct"/>
            <w:tcBorders>
              <w:top w:val="nil"/>
              <w:left w:val="nil"/>
              <w:right w:val="nil"/>
            </w:tcBorders>
            <w:vAlign w:val="bottom"/>
          </w:tcPr>
          <w:p w:rsidR="0092140F" w:rsidRPr="008B20B2" w:rsidRDefault="0092140F" w:rsidP="00704CC0">
            <w:pPr>
              <w:keepNext/>
              <w:keepLines/>
              <w:tabs>
                <w:tab w:val="left" w:pos="567"/>
                <w:tab w:val="left" w:pos="1134"/>
                <w:tab w:val="left" w:pos="1701"/>
                <w:tab w:val="left" w:pos="2268"/>
              </w:tabs>
              <w:jc w:val="right"/>
              <w:rPr>
                <w:rFonts w:cs="Arial"/>
                <w:sz w:val="18"/>
                <w:szCs w:val="18"/>
              </w:rPr>
            </w:pPr>
          </w:p>
        </w:tc>
      </w:tr>
      <w:tr w:rsidR="00A56542" w:rsidRPr="008B20B2" w:rsidTr="00562F9C">
        <w:trPr>
          <w:cantSplit/>
          <w:trHeight w:val="20"/>
        </w:trPr>
        <w:tc>
          <w:tcPr>
            <w:tcW w:w="2334" w:type="pct"/>
            <w:tcBorders>
              <w:top w:val="nil"/>
              <w:left w:val="nil"/>
              <w:bottom w:val="nil"/>
              <w:right w:val="nil"/>
            </w:tcBorders>
            <w:shd w:val="clear" w:color="auto" w:fill="auto"/>
            <w:noWrap/>
            <w:vAlign w:val="bottom"/>
          </w:tcPr>
          <w:p w:rsidR="00A56542" w:rsidRPr="008B20B2" w:rsidRDefault="00A56542" w:rsidP="00704CC0">
            <w:pPr>
              <w:keepNext/>
              <w:keepLines/>
              <w:tabs>
                <w:tab w:val="left" w:pos="567"/>
                <w:tab w:val="left" w:pos="1134"/>
                <w:tab w:val="left" w:pos="1701"/>
                <w:tab w:val="left" w:pos="2268"/>
              </w:tabs>
              <w:ind w:left="567"/>
              <w:rPr>
                <w:rFonts w:cs="Arial"/>
                <w:sz w:val="18"/>
                <w:szCs w:val="18"/>
              </w:rPr>
            </w:pPr>
            <w:r w:rsidRPr="008B20B2">
              <w:rPr>
                <w:rFonts w:cs="Arial"/>
                <w:sz w:val="18"/>
                <w:szCs w:val="18"/>
              </w:rPr>
              <w:t xml:space="preserve">Trade and other payables </w:t>
            </w:r>
          </w:p>
        </w:tc>
        <w:tc>
          <w:tcPr>
            <w:tcW w:w="667" w:type="pct"/>
            <w:tcBorders>
              <w:top w:val="nil"/>
              <w:left w:val="nil"/>
              <w:right w:val="nil"/>
            </w:tcBorders>
            <w:shd w:val="clear" w:color="auto" w:fill="auto"/>
            <w:noWrap/>
            <w:vAlign w:val="bottom"/>
          </w:tcPr>
          <w:p w:rsidR="00A56542" w:rsidRPr="008B20B2" w:rsidRDefault="00210B50" w:rsidP="00704CC0">
            <w:pPr>
              <w:keepNext/>
              <w:keepLines/>
              <w:tabs>
                <w:tab w:val="left" w:pos="567"/>
                <w:tab w:val="left" w:pos="1134"/>
                <w:tab w:val="left" w:pos="1701"/>
                <w:tab w:val="left" w:pos="2268"/>
              </w:tabs>
              <w:jc w:val="right"/>
              <w:rPr>
                <w:rFonts w:cs="Arial"/>
                <w:b/>
                <w:sz w:val="18"/>
                <w:szCs w:val="18"/>
              </w:rPr>
            </w:pPr>
            <w:r w:rsidRPr="008B20B2">
              <w:rPr>
                <w:rFonts w:cs="Arial"/>
                <w:b/>
                <w:sz w:val="18"/>
                <w:szCs w:val="18"/>
              </w:rPr>
              <w:t>123</w:t>
            </w:r>
          </w:p>
        </w:tc>
        <w:tc>
          <w:tcPr>
            <w:tcW w:w="667" w:type="pct"/>
            <w:tcBorders>
              <w:top w:val="nil"/>
              <w:left w:val="nil"/>
              <w:right w:val="nil"/>
            </w:tcBorders>
            <w:shd w:val="clear" w:color="auto" w:fill="auto"/>
            <w:noWrap/>
            <w:vAlign w:val="bottom"/>
          </w:tcPr>
          <w:p w:rsidR="00A56542" w:rsidRPr="008B20B2" w:rsidRDefault="00210B50" w:rsidP="00704CC0">
            <w:pPr>
              <w:keepNext/>
              <w:keepLines/>
              <w:tabs>
                <w:tab w:val="left" w:pos="567"/>
                <w:tab w:val="left" w:pos="1134"/>
                <w:tab w:val="left" w:pos="1701"/>
                <w:tab w:val="left" w:pos="2268"/>
              </w:tabs>
              <w:jc w:val="right"/>
              <w:rPr>
                <w:rFonts w:cs="Arial"/>
                <w:b/>
                <w:sz w:val="18"/>
                <w:szCs w:val="18"/>
              </w:rPr>
            </w:pPr>
            <w:r w:rsidRPr="008B20B2">
              <w:rPr>
                <w:rFonts w:cs="Arial"/>
                <w:b/>
                <w:sz w:val="18"/>
                <w:szCs w:val="18"/>
              </w:rPr>
              <w:t>77</w:t>
            </w:r>
          </w:p>
        </w:tc>
        <w:tc>
          <w:tcPr>
            <w:tcW w:w="667" w:type="pct"/>
            <w:tcBorders>
              <w:top w:val="nil"/>
              <w:left w:val="nil"/>
              <w:right w:val="nil"/>
            </w:tcBorders>
            <w:vAlign w:val="bottom"/>
          </w:tcPr>
          <w:p w:rsidR="00A56542" w:rsidRPr="008B20B2" w:rsidRDefault="00A56542" w:rsidP="00704CC0">
            <w:pPr>
              <w:keepNext/>
              <w:keepLines/>
              <w:tabs>
                <w:tab w:val="left" w:pos="567"/>
                <w:tab w:val="left" w:pos="1134"/>
                <w:tab w:val="left" w:pos="1701"/>
                <w:tab w:val="left" w:pos="2268"/>
              </w:tabs>
              <w:jc w:val="right"/>
              <w:rPr>
                <w:rFonts w:cs="Arial"/>
                <w:sz w:val="18"/>
                <w:szCs w:val="18"/>
              </w:rPr>
            </w:pPr>
            <w:r w:rsidRPr="008B20B2">
              <w:rPr>
                <w:rFonts w:cs="Arial"/>
                <w:sz w:val="18"/>
                <w:szCs w:val="18"/>
              </w:rPr>
              <w:t>364</w:t>
            </w:r>
          </w:p>
        </w:tc>
        <w:tc>
          <w:tcPr>
            <w:tcW w:w="667" w:type="pct"/>
            <w:tcBorders>
              <w:top w:val="nil"/>
              <w:left w:val="nil"/>
              <w:right w:val="nil"/>
            </w:tcBorders>
            <w:vAlign w:val="bottom"/>
          </w:tcPr>
          <w:p w:rsidR="00A56542" w:rsidRPr="008B20B2" w:rsidRDefault="00A56542" w:rsidP="00704CC0">
            <w:pPr>
              <w:keepNext/>
              <w:keepLines/>
              <w:tabs>
                <w:tab w:val="left" w:pos="567"/>
                <w:tab w:val="left" w:pos="1134"/>
                <w:tab w:val="left" w:pos="1701"/>
                <w:tab w:val="left" w:pos="2268"/>
              </w:tabs>
              <w:jc w:val="right"/>
              <w:rPr>
                <w:rFonts w:cs="Arial"/>
                <w:sz w:val="18"/>
                <w:szCs w:val="18"/>
              </w:rPr>
            </w:pPr>
            <w:r w:rsidRPr="008B20B2">
              <w:rPr>
                <w:rFonts w:cs="Arial"/>
                <w:sz w:val="18"/>
                <w:szCs w:val="18"/>
              </w:rPr>
              <w:t>77</w:t>
            </w:r>
          </w:p>
        </w:tc>
      </w:tr>
      <w:tr w:rsidR="00A56542" w:rsidRPr="008B20B2" w:rsidTr="00562F9C">
        <w:trPr>
          <w:cantSplit/>
          <w:trHeight w:val="20"/>
        </w:trPr>
        <w:tc>
          <w:tcPr>
            <w:tcW w:w="2334" w:type="pct"/>
            <w:tcBorders>
              <w:top w:val="nil"/>
              <w:left w:val="nil"/>
              <w:bottom w:val="nil"/>
              <w:right w:val="nil"/>
            </w:tcBorders>
            <w:shd w:val="clear" w:color="auto" w:fill="auto"/>
            <w:noWrap/>
            <w:vAlign w:val="bottom"/>
          </w:tcPr>
          <w:p w:rsidR="00A56542" w:rsidRPr="008B20B2" w:rsidRDefault="00A56542" w:rsidP="00704CC0">
            <w:pPr>
              <w:tabs>
                <w:tab w:val="left" w:pos="567"/>
                <w:tab w:val="left" w:pos="1134"/>
                <w:tab w:val="left" w:pos="1701"/>
                <w:tab w:val="left" w:pos="2268"/>
              </w:tabs>
              <w:ind w:left="567"/>
              <w:rPr>
                <w:rFonts w:cs="Arial"/>
                <w:b/>
                <w:sz w:val="18"/>
                <w:szCs w:val="18"/>
              </w:rPr>
            </w:pPr>
          </w:p>
        </w:tc>
        <w:tc>
          <w:tcPr>
            <w:tcW w:w="667" w:type="pct"/>
            <w:tcBorders>
              <w:top w:val="single" w:sz="4" w:space="0" w:color="auto"/>
              <w:left w:val="nil"/>
              <w:bottom w:val="single" w:sz="4" w:space="0" w:color="auto"/>
              <w:right w:val="nil"/>
            </w:tcBorders>
            <w:shd w:val="clear" w:color="auto" w:fill="auto"/>
            <w:noWrap/>
            <w:vAlign w:val="bottom"/>
          </w:tcPr>
          <w:p w:rsidR="00A56542" w:rsidRPr="008B20B2" w:rsidRDefault="00210B50" w:rsidP="00704CC0">
            <w:pPr>
              <w:tabs>
                <w:tab w:val="left" w:pos="567"/>
                <w:tab w:val="left" w:pos="1134"/>
                <w:tab w:val="left" w:pos="1701"/>
                <w:tab w:val="left" w:pos="2268"/>
              </w:tabs>
              <w:jc w:val="right"/>
              <w:rPr>
                <w:rFonts w:cs="Arial"/>
                <w:b/>
                <w:sz w:val="18"/>
                <w:szCs w:val="18"/>
              </w:rPr>
            </w:pPr>
            <w:r w:rsidRPr="008B20B2">
              <w:rPr>
                <w:rFonts w:cs="Arial"/>
                <w:b/>
                <w:sz w:val="18"/>
                <w:szCs w:val="18"/>
              </w:rPr>
              <w:t>123</w:t>
            </w:r>
          </w:p>
        </w:tc>
        <w:tc>
          <w:tcPr>
            <w:tcW w:w="667" w:type="pct"/>
            <w:tcBorders>
              <w:top w:val="single" w:sz="4" w:space="0" w:color="auto"/>
              <w:left w:val="nil"/>
              <w:bottom w:val="single" w:sz="4" w:space="0" w:color="auto"/>
              <w:right w:val="nil"/>
            </w:tcBorders>
            <w:shd w:val="clear" w:color="auto" w:fill="auto"/>
            <w:noWrap/>
            <w:vAlign w:val="bottom"/>
          </w:tcPr>
          <w:p w:rsidR="00A56542" w:rsidRPr="008B20B2" w:rsidRDefault="00210B50" w:rsidP="00704CC0">
            <w:pPr>
              <w:tabs>
                <w:tab w:val="left" w:pos="567"/>
                <w:tab w:val="left" w:pos="1134"/>
                <w:tab w:val="left" w:pos="1701"/>
                <w:tab w:val="left" w:pos="2268"/>
              </w:tabs>
              <w:jc w:val="right"/>
              <w:rPr>
                <w:rFonts w:cs="Arial"/>
                <w:b/>
                <w:sz w:val="18"/>
                <w:szCs w:val="18"/>
              </w:rPr>
            </w:pPr>
            <w:r w:rsidRPr="008B20B2">
              <w:rPr>
                <w:rFonts w:cs="Arial"/>
                <w:b/>
                <w:sz w:val="18"/>
                <w:szCs w:val="18"/>
              </w:rPr>
              <w:t>77</w:t>
            </w:r>
          </w:p>
        </w:tc>
        <w:tc>
          <w:tcPr>
            <w:tcW w:w="667" w:type="pct"/>
            <w:tcBorders>
              <w:top w:val="single" w:sz="4" w:space="0" w:color="auto"/>
              <w:left w:val="nil"/>
              <w:bottom w:val="single" w:sz="4" w:space="0" w:color="auto"/>
              <w:right w:val="nil"/>
            </w:tcBorders>
            <w:vAlign w:val="bottom"/>
          </w:tcPr>
          <w:p w:rsidR="00A56542" w:rsidRPr="008B20B2" w:rsidRDefault="00A56542" w:rsidP="00704CC0">
            <w:pPr>
              <w:tabs>
                <w:tab w:val="left" w:pos="567"/>
                <w:tab w:val="left" w:pos="1134"/>
                <w:tab w:val="left" w:pos="1701"/>
                <w:tab w:val="left" w:pos="2268"/>
              </w:tabs>
              <w:jc w:val="right"/>
              <w:rPr>
                <w:rFonts w:cs="Arial"/>
                <w:sz w:val="18"/>
                <w:szCs w:val="18"/>
              </w:rPr>
            </w:pPr>
            <w:r w:rsidRPr="008B20B2">
              <w:rPr>
                <w:rFonts w:cs="Arial"/>
                <w:sz w:val="18"/>
                <w:szCs w:val="18"/>
              </w:rPr>
              <w:t>364</w:t>
            </w:r>
          </w:p>
        </w:tc>
        <w:tc>
          <w:tcPr>
            <w:tcW w:w="667" w:type="pct"/>
            <w:tcBorders>
              <w:top w:val="single" w:sz="4" w:space="0" w:color="auto"/>
              <w:left w:val="nil"/>
              <w:bottom w:val="single" w:sz="4" w:space="0" w:color="auto"/>
              <w:right w:val="nil"/>
            </w:tcBorders>
            <w:vAlign w:val="bottom"/>
          </w:tcPr>
          <w:p w:rsidR="00A56542" w:rsidRPr="008B20B2" w:rsidRDefault="00A56542" w:rsidP="00704CC0">
            <w:pPr>
              <w:tabs>
                <w:tab w:val="left" w:pos="567"/>
                <w:tab w:val="left" w:pos="1134"/>
                <w:tab w:val="left" w:pos="1701"/>
                <w:tab w:val="left" w:pos="2268"/>
              </w:tabs>
              <w:jc w:val="right"/>
              <w:rPr>
                <w:rFonts w:cs="Arial"/>
                <w:sz w:val="18"/>
                <w:szCs w:val="18"/>
              </w:rPr>
            </w:pPr>
            <w:r w:rsidRPr="008B20B2">
              <w:rPr>
                <w:rFonts w:cs="Arial"/>
                <w:sz w:val="18"/>
                <w:szCs w:val="18"/>
              </w:rPr>
              <w:t>77</w:t>
            </w:r>
          </w:p>
        </w:tc>
      </w:tr>
    </w:tbl>
    <w:p w:rsidR="0092140F" w:rsidRPr="00A76890" w:rsidRDefault="0092140F" w:rsidP="00704CC0">
      <w:pPr>
        <w:pStyle w:val="Normal2-Para"/>
        <w:spacing w:line="240" w:lineRule="auto"/>
        <w:ind w:left="567"/>
      </w:pPr>
      <w:r w:rsidRPr="00A76890">
        <w:t>All trade and other payables are short- term and their carrying values are considered to be a reasonable approximation of their fair value.</w:t>
      </w:r>
    </w:p>
    <w:p w:rsidR="00863596" w:rsidRPr="008B20B2" w:rsidRDefault="0092140F" w:rsidP="00704CC0">
      <w:pPr>
        <w:keepNext/>
        <w:keepLines/>
        <w:numPr>
          <w:ilvl w:val="0"/>
          <w:numId w:val="4"/>
        </w:numPr>
        <w:tabs>
          <w:tab w:val="clear" w:pos="810"/>
          <w:tab w:val="left" w:pos="567"/>
          <w:tab w:val="left" w:pos="1134"/>
          <w:tab w:val="left" w:pos="1701"/>
          <w:tab w:val="left" w:pos="2268"/>
        </w:tabs>
        <w:spacing w:before="240" w:after="120"/>
        <w:ind w:left="567" w:hanging="567"/>
        <w:rPr>
          <w:rFonts w:cs="Arial"/>
          <w:b/>
        </w:rPr>
      </w:pPr>
      <w:r w:rsidRPr="008B20B2">
        <w:rPr>
          <w:rFonts w:cs="Arial"/>
          <w:b/>
        </w:rPr>
        <w:t>Share capital</w:t>
      </w:r>
    </w:p>
    <w:tbl>
      <w:tblPr>
        <w:tblW w:w="8664" w:type="dxa"/>
        <w:tblLayout w:type="fixed"/>
        <w:tblCellMar>
          <w:top w:w="28" w:type="dxa"/>
          <w:left w:w="57" w:type="dxa"/>
          <w:bottom w:w="28" w:type="dxa"/>
          <w:right w:w="57" w:type="dxa"/>
        </w:tblCellMar>
        <w:tblLook w:val="0000"/>
      </w:tblPr>
      <w:tblGrid>
        <w:gridCol w:w="3892"/>
        <w:gridCol w:w="1305"/>
        <w:gridCol w:w="969"/>
        <w:gridCol w:w="284"/>
        <w:gridCol w:w="1277"/>
        <w:gridCol w:w="937"/>
      </w:tblGrid>
      <w:tr w:rsidR="008B20B2" w:rsidRPr="00A76890" w:rsidTr="00562F9C">
        <w:tc>
          <w:tcPr>
            <w:tcW w:w="2246" w:type="pct"/>
            <w:tcBorders>
              <w:left w:val="nil"/>
              <w:right w:val="nil"/>
            </w:tcBorders>
            <w:shd w:val="clear" w:color="auto" w:fill="auto"/>
            <w:noWrap/>
            <w:vAlign w:val="bottom"/>
          </w:tcPr>
          <w:p w:rsidR="008B20B2" w:rsidRPr="008B20B2" w:rsidRDefault="008B20B2" w:rsidP="00704CC0">
            <w:pPr>
              <w:keepNext/>
              <w:keepLines/>
              <w:tabs>
                <w:tab w:val="left" w:pos="567"/>
                <w:tab w:val="left" w:pos="1134"/>
                <w:tab w:val="left" w:pos="1701"/>
                <w:tab w:val="left" w:pos="2268"/>
              </w:tabs>
              <w:rPr>
                <w:rFonts w:cs="Arial"/>
                <w:sz w:val="18"/>
                <w:szCs w:val="18"/>
              </w:rPr>
            </w:pPr>
          </w:p>
        </w:tc>
        <w:tc>
          <w:tcPr>
            <w:tcW w:w="1312" w:type="pct"/>
            <w:gridSpan w:val="2"/>
            <w:tcBorders>
              <w:left w:val="nil"/>
              <w:right w:val="nil"/>
            </w:tcBorders>
            <w:vAlign w:val="bottom"/>
          </w:tcPr>
          <w:p w:rsidR="008B20B2" w:rsidRPr="008B20B2" w:rsidRDefault="008B20B2" w:rsidP="00704CC0">
            <w:pPr>
              <w:keepNext/>
              <w:keepLines/>
              <w:tabs>
                <w:tab w:val="left" w:pos="567"/>
                <w:tab w:val="left" w:pos="1134"/>
                <w:tab w:val="left" w:pos="1701"/>
                <w:tab w:val="left" w:pos="2268"/>
              </w:tabs>
              <w:jc w:val="center"/>
              <w:rPr>
                <w:rFonts w:cs="Arial"/>
                <w:b/>
                <w:bCs/>
                <w:sz w:val="18"/>
                <w:szCs w:val="18"/>
              </w:rPr>
            </w:pPr>
            <w:r>
              <w:rPr>
                <w:rFonts w:cs="Arial"/>
                <w:b/>
                <w:bCs/>
                <w:sz w:val="18"/>
                <w:szCs w:val="18"/>
              </w:rPr>
              <w:t>2013</w:t>
            </w:r>
          </w:p>
        </w:tc>
        <w:tc>
          <w:tcPr>
            <w:tcW w:w="164" w:type="pct"/>
            <w:tcBorders>
              <w:left w:val="nil"/>
              <w:right w:val="nil"/>
            </w:tcBorders>
            <w:shd w:val="clear" w:color="auto" w:fill="auto"/>
            <w:noWrap/>
            <w:vAlign w:val="bottom"/>
          </w:tcPr>
          <w:p w:rsidR="008B20B2" w:rsidRPr="008B20B2" w:rsidRDefault="008B20B2" w:rsidP="00704CC0">
            <w:pPr>
              <w:keepNext/>
              <w:keepLines/>
              <w:tabs>
                <w:tab w:val="left" w:pos="567"/>
                <w:tab w:val="left" w:pos="1134"/>
                <w:tab w:val="left" w:pos="1701"/>
                <w:tab w:val="left" w:pos="2268"/>
              </w:tabs>
              <w:jc w:val="center"/>
              <w:rPr>
                <w:rFonts w:cs="Arial"/>
                <w:sz w:val="18"/>
                <w:szCs w:val="18"/>
              </w:rPr>
            </w:pPr>
          </w:p>
        </w:tc>
        <w:tc>
          <w:tcPr>
            <w:tcW w:w="1278" w:type="pct"/>
            <w:gridSpan w:val="2"/>
            <w:tcBorders>
              <w:left w:val="nil"/>
              <w:right w:val="nil"/>
            </w:tcBorders>
            <w:vAlign w:val="bottom"/>
          </w:tcPr>
          <w:p w:rsidR="008B20B2" w:rsidRPr="008B20B2" w:rsidRDefault="008B20B2" w:rsidP="00704CC0">
            <w:pPr>
              <w:keepNext/>
              <w:keepLines/>
              <w:tabs>
                <w:tab w:val="left" w:pos="567"/>
                <w:tab w:val="left" w:pos="1134"/>
                <w:tab w:val="left" w:pos="1701"/>
                <w:tab w:val="left" w:pos="2268"/>
              </w:tabs>
              <w:jc w:val="center"/>
              <w:rPr>
                <w:rFonts w:cs="Arial"/>
                <w:bCs/>
                <w:sz w:val="18"/>
                <w:szCs w:val="18"/>
              </w:rPr>
            </w:pPr>
            <w:r>
              <w:rPr>
                <w:rFonts w:cs="Arial"/>
                <w:bCs/>
                <w:sz w:val="18"/>
                <w:szCs w:val="18"/>
              </w:rPr>
              <w:t>2012</w:t>
            </w:r>
          </w:p>
        </w:tc>
      </w:tr>
      <w:tr w:rsidR="008B20B2" w:rsidRPr="00A76890" w:rsidTr="00562F9C">
        <w:tc>
          <w:tcPr>
            <w:tcW w:w="2246" w:type="pct"/>
            <w:tcBorders>
              <w:left w:val="nil"/>
              <w:bottom w:val="nil"/>
              <w:right w:val="nil"/>
            </w:tcBorders>
            <w:shd w:val="clear" w:color="auto" w:fill="auto"/>
            <w:noWrap/>
            <w:vAlign w:val="bottom"/>
          </w:tcPr>
          <w:p w:rsidR="008B20B2" w:rsidRPr="008B20B2" w:rsidRDefault="008B20B2" w:rsidP="00704CC0">
            <w:pPr>
              <w:keepNext/>
              <w:keepLines/>
              <w:tabs>
                <w:tab w:val="left" w:pos="567"/>
                <w:tab w:val="left" w:pos="1134"/>
                <w:tab w:val="left" w:pos="1701"/>
                <w:tab w:val="left" w:pos="2268"/>
              </w:tabs>
              <w:rPr>
                <w:rFonts w:cs="Arial"/>
                <w:sz w:val="18"/>
                <w:szCs w:val="18"/>
              </w:rPr>
            </w:pPr>
          </w:p>
        </w:tc>
        <w:tc>
          <w:tcPr>
            <w:tcW w:w="753" w:type="pct"/>
            <w:tcBorders>
              <w:left w:val="nil"/>
              <w:bottom w:val="nil"/>
              <w:right w:val="nil"/>
            </w:tcBorders>
          </w:tcPr>
          <w:p w:rsidR="008B20B2" w:rsidRPr="008B20B2" w:rsidRDefault="008B20B2" w:rsidP="00704CC0">
            <w:pPr>
              <w:keepNext/>
              <w:keepLines/>
              <w:tabs>
                <w:tab w:val="left" w:pos="567"/>
                <w:tab w:val="left" w:pos="1134"/>
                <w:tab w:val="left" w:pos="1701"/>
                <w:tab w:val="left" w:pos="2268"/>
              </w:tabs>
              <w:jc w:val="right"/>
              <w:rPr>
                <w:rFonts w:cs="Arial"/>
                <w:b/>
                <w:bCs/>
                <w:sz w:val="18"/>
                <w:szCs w:val="18"/>
              </w:rPr>
            </w:pPr>
            <w:r w:rsidRPr="008B20B2">
              <w:rPr>
                <w:rFonts w:cs="Arial"/>
                <w:b/>
                <w:bCs/>
                <w:sz w:val="18"/>
                <w:szCs w:val="18"/>
              </w:rPr>
              <w:t>Number of shares</w:t>
            </w:r>
          </w:p>
        </w:tc>
        <w:tc>
          <w:tcPr>
            <w:tcW w:w="559" w:type="pct"/>
            <w:tcBorders>
              <w:left w:val="nil"/>
              <w:bottom w:val="nil"/>
              <w:right w:val="nil"/>
            </w:tcBorders>
            <w:shd w:val="clear" w:color="auto" w:fill="auto"/>
            <w:noWrap/>
          </w:tcPr>
          <w:p w:rsidR="008B20B2" w:rsidRPr="008B20B2" w:rsidRDefault="008B20B2" w:rsidP="00704CC0">
            <w:pPr>
              <w:keepNext/>
              <w:keepLines/>
              <w:tabs>
                <w:tab w:val="left" w:pos="567"/>
                <w:tab w:val="left" w:pos="1134"/>
                <w:tab w:val="left" w:pos="1701"/>
                <w:tab w:val="left" w:pos="2268"/>
              </w:tabs>
              <w:jc w:val="right"/>
              <w:rPr>
                <w:rFonts w:cs="Arial"/>
                <w:b/>
                <w:sz w:val="18"/>
                <w:szCs w:val="18"/>
              </w:rPr>
            </w:pPr>
            <w:r w:rsidRPr="008B20B2">
              <w:rPr>
                <w:rFonts w:cs="Arial"/>
                <w:b/>
                <w:bCs/>
                <w:sz w:val="18"/>
                <w:szCs w:val="18"/>
              </w:rPr>
              <w:t>£'000</w:t>
            </w:r>
          </w:p>
        </w:tc>
        <w:tc>
          <w:tcPr>
            <w:tcW w:w="164" w:type="pct"/>
            <w:tcBorders>
              <w:left w:val="nil"/>
              <w:bottom w:val="nil"/>
              <w:right w:val="nil"/>
            </w:tcBorders>
            <w:shd w:val="clear" w:color="auto" w:fill="auto"/>
            <w:noWrap/>
          </w:tcPr>
          <w:p w:rsidR="008B20B2" w:rsidRPr="008B20B2" w:rsidRDefault="008B20B2" w:rsidP="00704CC0">
            <w:pPr>
              <w:keepNext/>
              <w:keepLines/>
              <w:tabs>
                <w:tab w:val="left" w:pos="567"/>
                <w:tab w:val="left" w:pos="1134"/>
                <w:tab w:val="left" w:pos="1701"/>
                <w:tab w:val="left" w:pos="2268"/>
              </w:tabs>
              <w:jc w:val="right"/>
              <w:rPr>
                <w:rFonts w:cs="Arial"/>
                <w:sz w:val="18"/>
                <w:szCs w:val="18"/>
              </w:rPr>
            </w:pPr>
          </w:p>
        </w:tc>
        <w:tc>
          <w:tcPr>
            <w:tcW w:w="737" w:type="pct"/>
            <w:tcBorders>
              <w:left w:val="nil"/>
              <w:bottom w:val="nil"/>
              <w:right w:val="nil"/>
            </w:tcBorders>
          </w:tcPr>
          <w:p w:rsidR="008B20B2" w:rsidRPr="008B20B2" w:rsidRDefault="008B20B2" w:rsidP="00704CC0">
            <w:pPr>
              <w:keepNext/>
              <w:keepLines/>
              <w:tabs>
                <w:tab w:val="left" w:pos="567"/>
                <w:tab w:val="left" w:pos="1134"/>
                <w:tab w:val="left" w:pos="1701"/>
                <w:tab w:val="left" w:pos="2268"/>
              </w:tabs>
              <w:jc w:val="right"/>
              <w:rPr>
                <w:rFonts w:cs="Arial"/>
                <w:bCs/>
                <w:sz w:val="18"/>
                <w:szCs w:val="18"/>
              </w:rPr>
            </w:pPr>
            <w:r w:rsidRPr="008B20B2">
              <w:rPr>
                <w:rFonts w:cs="Arial"/>
                <w:bCs/>
                <w:sz w:val="18"/>
                <w:szCs w:val="18"/>
              </w:rPr>
              <w:t>Number of shares</w:t>
            </w:r>
          </w:p>
        </w:tc>
        <w:tc>
          <w:tcPr>
            <w:tcW w:w="541" w:type="pct"/>
            <w:tcBorders>
              <w:left w:val="nil"/>
              <w:bottom w:val="nil"/>
              <w:right w:val="nil"/>
            </w:tcBorders>
            <w:shd w:val="clear" w:color="auto" w:fill="auto"/>
            <w:noWrap/>
          </w:tcPr>
          <w:p w:rsidR="008B20B2" w:rsidRPr="008B20B2" w:rsidRDefault="008B20B2" w:rsidP="00704CC0">
            <w:pPr>
              <w:keepNext/>
              <w:keepLines/>
              <w:tabs>
                <w:tab w:val="left" w:pos="567"/>
                <w:tab w:val="left" w:pos="1134"/>
                <w:tab w:val="left" w:pos="1701"/>
                <w:tab w:val="left" w:pos="2268"/>
              </w:tabs>
              <w:jc w:val="right"/>
              <w:rPr>
                <w:rFonts w:cs="Arial"/>
                <w:sz w:val="18"/>
                <w:szCs w:val="18"/>
              </w:rPr>
            </w:pPr>
            <w:r w:rsidRPr="008B20B2">
              <w:rPr>
                <w:rFonts w:cs="Arial"/>
                <w:bCs/>
                <w:sz w:val="18"/>
                <w:szCs w:val="18"/>
              </w:rPr>
              <w:t>£'000</w:t>
            </w:r>
          </w:p>
        </w:tc>
      </w:tr>
      <w:tr w:rsidR="008B20B2" w:rsidRPr="00A76890" w:rsidTr="00562F9C">
        <w:tc>
          <w:tcPr>
            <w:tcW w:w="2246" w:type="pct"/>
            <w:tcBorders>
              <w:top w:val="nil"/>
              <w:left w:val="nil"/>
              <w:bottom w:val="nil"/>
              <w:right w:val="nil"/>
            </w:tcBorders>
            <w:shd w:val="clear" w:color="auto" w:fill="auto"/>
            <w:noWrap/>
            <w:vAlign w:val="bottom"/>
          </w:tcPr>
          <w:p w:rsidR="008B20B2" w:rsidRPr="008B20B2" w:rsidRDefault="008B20B2" w:rsidP="00704CC0">
            <w:pPr>
              <w:keepNext/>
              <w:keepLines/>
              <w:tabs>
                <w:tab w:val="left" w:pos="567"/>
                <w:tab w:val="left" w:pos="1134"/>
                <w:tab w:val="left" w:pos="1701"/>
                <w:tab w:val="left" w:pos="2268"/>
              </w:tabs>
              <w:ind w:left="567"/>
              <w:rPr>
                <w:rFonts w:cs="Arial"/>
                <w:sz w:val="18"/>
                <w:szCs w:val="18"/>
              </w:rPr>
            </w:pPr>
            <w:proofErr w:type="spellStart"/>
            <w:r w:rsidRPr="008B20B2">
              <w:rPr>
                <w:rFonts w:cs="Arial"/>
                <w:sz w:val="18"/>
                <w:szCs w:val="18"/>
              </w:rPr>
              <w:t>Authorised</w:t>
            </w:r>
            <w:proofErr w:type="spellEnd"/>
            <w:r w:rsidRPr="008B20B2">
              <w:rPr>
                <w:rFonts w:cs="Arial"/>
                <w:sz w:val="18"/>
                <w:szCs w:val="18"/>
              </w:rPr>
              <w:t xml:space="preserve"> ordinary shares of 1p each</w:t>
            </w:r>
          </w:p>
        </w:tc>
        <w:tc>
          <w:tcPr>
            <w:tcW w:w="753" w:type="pct"/>
            <w:tcBorders>
              <w:top w:val="single" w:sz="4" w:space="0" w:color="auto"/>
              <w:left w:val="nil"/>
              <w:bottom w:val="single" w:sz="4" w:space="0" w:color="auto"/>
              <w:right w:val="nil"/>
            </w:tcBorders>
            <w:tcMar>
              <w:left w:w="0" w:type="dxa"/>
            </w:tcMar>
          </w:tcPr>
          <w:p w:rsidR="008B20B2" w:rsidRPr="008B20B2" w:rsidRDefault="008B20B2" w:rsidP="00704CC0">
            <w:pPr>
              <w:keepNext/>
              <w:keepLines/>
              <w:tabs>
                <w:tab w:val="left" w:pos="567"/>
                <w:tab w:val="left" w:pos="1134"/>
                <w:tab w:val="left" w:pos="1701"/>
                <w:tab w:val="left" w:pos="2268"/>
              </w:tabs>
              <w:jc w:val="right"/>
              <w:rPr>
                <w:rFonts w:cs="Arial"/>
                <w:b/>
                <w:sz w:val="18"/>
                <w:szCs w:val="18"/>
              </w:rPr>
            </w:pPr>
            <w:r w:rsidRPr="008B20B2">
              <w:rPr>
                <w:rFonts w:cs="Arial"/>
                <w:b/>
                <w:sz w:val="18"/>
                <w:szCs w:val="18"/>
              </w:rPr>
              <w:t>300,000,000</w:t>
            </w:r>
          </w:p>
        </w:tc>
        <w:tc>
          <w:tcPr>
            <w:tcW w:w="559" w:type="pct"/>
            <w:tcBorders>
              <w:top w:val="single" w:sz="4" w:space="0" w:color="auto"/>
              <w:left w:val="nil"/>
              <w:bottom w:val="single" w:sz="4" w:space="0" w:color="auto"/>
              <w:right w:val="nil"/>
            </w:tcBorders>
            <w:shd w:val="clear" w:color="auto" w:fill="auto"/>
            <w:noWrap/>
          </w:tcPr>
          <w:p w:rsidR="008B20B2" w:rsidRPr="008B20B2" w:rsidRDefault="008B20B2" w:rsidP="00704CC0">
            <w:pPr>
              <w:keepNext/>
              <w:keepLines/>
              <w:tabs>
                <w:tab w:val="left" w:pos="567"/>
                <w:tab w:val="left" w:pos="1134"/>
                <w:tab w:val="left" w:pos="1701"/>
                <w:tab w:val="left" w:pos="2268"/>
              </w:tabs>
              <w:jc w:val="right"/>
              <w:rPr>
                <w:rFonts w:cs="Arial"/>
                <w:b/>
                <w:sz w:val="18"/>
                <w:szCs w:val="18"/>
              </w:rPr>
            </w:pPr>
            <w:r w:rsidRPr="008B20B2">
              <w:rPr>
                <w:rFonts w:cs="Arial"/>
                <w:b/>
                <w:sz w:val="18"/>
                <w:szCs w:val="18"/>
              </w:rPr>
              <w:t>3,000</w:t>
            </w:r>
          </w:p>
        </w:tc>
        <w:tc>
          <w:tcPr>
            <w:tcW w:w="164" w:type="pct"/>
            <w:tcBorders>
              <w:top w:val="single" w:sz="4" w:space="0" w:color="auto"/>
              <w:left w:val="nil"/>
              <w:right w:val="nil"/>
            </w:tcBorders>
            <w:shd w:val="clear" w:color="auto" w:fill="auto"/>
            <w:noWrap/>
          </w:tcPr>
          <w:p w:rsidR="008B20B2" w:rsidRPr="008B20B2" w:rsidRDefault="008B20B2" w:rsidP="00704CC0">
            <w:pPr>
              <w:keepNext/>
              <w:keepLines/>
              <w:tabs>
                <w:tab w:val="left" w:pos="567"/>
                <w:tab w:val="left" w:pos="1134"/>
                <w:tab w:val="left" w:pos="1701"/>
                <w:tab w:val="left" w:pos="2268"/>
              </w:tabs>
              <w:jc w:val="right"/>
              <w:rPr>
                <w:rFonts w:cs="Arial"/>
                <w:sz w:val="18"/>
                <w:szCs w:val="18"/>
              </w:rPr>
            </w:pPr>
          </w:p>
        </w:tc>
        <w:tc>
          <w:tcPr>
            <w:tcW w:w="737" w:type="pct"/>
            <w:tcBorders>
              <w:top w:val="single" w:sz="4" w:space="0" w:color="auto"/>
              <w:left w:val="nil"/>
              <w:bottom w:val="single" w:sz="4" w:space="0" w:color="auto"/>
              <w:right w:val="nil"/>
            </w:tcBorders>
            <w:tcMar>
              <w:left w:w="0" w:type="dxa"/>
            </w:tcMar>
          </w:tcPr>
          <w:p w:rsidR="008B20B2" w:rsidRPr="008B20B2" w:rsidRDefault="008B20B2" w:rsidP="00704CC0">
            <w:pPr>
              <w:keepNext/>
              <w:keepLines/>
              <w:tabs>
                <w:tab w:val="left" w:pos="567"/>
                <w:tab w:val="left" w:pos="1134"/>
                <w:tab w:val="left" w:pos="1701"/>
                <w:tab w:val="left" w:pos="2268"/>
              </w:tabs>
              <w:jc w:val="right"/>
              <w:rPr>
                <w:rFonts w:cs="Arial"/>
                <w:sz w:val="18"/>
                <w:szCs w:val="18"/>
              </w:rPr>
            </w:pPr>
            <w:r w:rsidRPr="008B20B2">
              <w:rPr>
                <w:rFonts w:cs="Arial"/>
                <w:sz w:val="18"/>
                <w:szCs w:val="18"/>
              </w:rPr>
              <w:t>300,000,000</w:t>
            </w:r>
          </w:p>
        </w:tc>
        <w:tc>
          <w:tcPr>
            <w:tcW w:w="541" w:type="pct"/>
            <w:tcBorders>
              <w:top w:val="single" w:sz="4" w:space="0" w:color="auto"/>
              <w:left w:val="nil"/>
              <w:bottom w:val="single" w:sz="4" w:space="0" w:color="auto"/>
              <w:right w:val="nil"/>
            </w:tcBorders>
            <w:shd w:val="clear" w:color="auto" w:fill="auto"/>
            <w:noWrap/>
          </w:tcPr>
          <w:p w:rsidR="008B20B2" w:rsidRPr="008B20B2" w:rsidRDefault="008B20B2" w:rsidP="00704CC0">
            <w:pPr>
              <w:keepNext/>
              <w:keepLines/>
              <w:tabs>
                <w:tab w:val="left" w:pos="567"/>
                <w:tab w:val="left" w:pos="1134"/>
                <w:tab w:val="left" w:pos="1701"/>
                <w:tab w:val="left" w:pos="2268"/>
              </w:tabs>
              <w:jc w:val="right"/>
              <w:rPr>
                <w:rFonts w:cs="Arial"/>
                <w:sz w:val="18"/>
                <w:szCs w:val="18"/>
              </w:rPr>
            </w:pPr>
            <w:r w:rsidRPr="008B20B2">
              <w:rPr>
                <w:rFonts w:cs="Arial"/>
                <w:sz w:val="18"/>
                <w:szCs w:val="18"/>
              </w:rPr>
              <w:t>3,000</w:t>
            </w:r>
          </w:p>
        </w:tc>
      </w:tr>
      <w:tr w:rsidR="008B20B2" w:rsidRPr="00A76890" w:rsidTr="00562F9C">
        <w:tc>
          <w:tcPr>
            <w:tcW w:w="2246" w:type="pct"/>
            <w:tcBorders>
              <w:top w:val="nil"/>
              <w:left w:val="nil"/>
              <w:bottom w:val="nil"/>
              <w:right w:val="nil"/>
            </w:tcBorders>
            <w:shd w:val="clear" w:color="auto" w:fill="auto"/>
            <w:noWrap/>
            <w:vAlign w:val="bottom"/>
          </w:tcPr>
          <w:p w:rsidR="008B20B2" w:rsidRPr="008B20B2" w:rsidRDefault="008B20B2" w:rsidP="00704CC0">
            <w:pPr>
              <w:keepNext/>
              <w:keepLines/>
              <w:tabs>
                <w:tab w:val="left" w:pos="567"/>
                <w:tab w:val="left" w:pos="1134"/>
                <w:tab w:val="left" w:pos="1701"/>
                <w:tab w:val="left" w:pos="2268"/>
              </w:tabs>
              <w:ind w:left="567"/>
              <w:rPr>
                <w:rFonts w:cs="Arial"/>
                <w:sz w:val="18"/>
                <w:szCs w:val="18"/>
              </w:rPr>
            </w:pPr>
          </w:p>
        </w:tc>
        <w:tc>
          <w:tcPr>
            <w:tcW w:w="753" w:type="pct"/>
            <w:tcBorders>
              <w:top w:val="single" w:sz="4" w:space="0" w:color="auto"/>
              <w:left w:val="nil"/>
              <w:bottom w:val="nil"/>
              <w:right w:val="nil"/>
            </w:tcBorders>
          </w:tcPr>
          <w:p w:rsidR="008B20B2" w:rsidRPr="008B20B2" w:rsidRDefault="008B20B2" w:rsidP="00704CC0">
            <w:pPr>
              <w:keepNext/>
              <w:keepLines/>
              <w:tabs>
                <w:tab w:val="left" w:pos="567"/>
                <w:tab w:val="left" w:pos="1134"/>
                <w:tab w:val="left" w:pos="1701"/>
                <w:tab w:val="left" w:pos="2268"/>
              </w:tabs>
              <w:jc w:val="right"/>
              <w:rPr>
                <w:rFonts w:cs="Arial"/>
                <w:b/>
                <w:sz w:val="18"/>
                <w:szCs w:val="18"/>
              </w:rPr>
            </w:pPr>
          </w:p>
        </w:tc>
        <w:tc>
          <w:tcPr>
            <w:tcW w:w="559" w:type="pct"/>
            <w:tcBorders>
              <w:top w:val="single" w:sz="4" w:space="0" w:color="auto"/>
              <w:left w:val="nil"/>
              <w:bottom w:val="nil"/>
              <w:right w:val="nil"/>
            </w:tcBorders>
            <w:shd w:val="clear" w:color="auto" w:fill="auto"/>
            <w:noWrap/>
            <w:vAlign w:val="bottom"/>
          </w:tcPr>
          <w:p w:rsidR="008B20B2" w:rsidRPr="008B20B2" w:rsidRDefault="008B20B2" w:rsidP="00704CC0">
            <w:pPr>
              <w:keepNext/>
              <w:keepLines/>
              <w:tabs>
                <w:tab w:val="left" w:pos="567"/>
                <w:tab w:val="left" w:pos="1134"/>
                <w:tab w:val="left" w:pos="1701"/>
                <w:tab w:val="left" w:pos="2268"/>
              </w:tabs>
              <w:jc w:val="right"/>
              <w:rPr>
                <w:rFonts w:cs="Arial"/>
                <w:b/>
                <w:sz w:val="18"/>
                <w:szCs w:val="18"/>
              </w:rPr>
            </w:pPr>
          </w:p>
        </w:tc>
        <w:tc>
          <w:tcPr>
            <w:tcW w:w="164" w:type="pct"/>
            <w:tcBorders>
              <w:left w:val="nil"/>
              <w:bottom w:val="nil"/>
              <w:right w:val="nil"/>
            </w:tcBorders>
            <w:shd w:val="clear" w:color="auto" w:fill="auto"/>
            <w:noWrap/>
            <w:vAlign w:val="bottom"/>
          </w:tcPr>
          <w:p w:rsidR="008B20B2" w:rsidRPr="008B20B2" w:rsidRDefault="008B20B2" w:rsidP="00704CC0">
            <w:pPr>
              <w:keepNext/>
              <w:keepLines/>
              <w:tabs>
                <w:tab w:val="left" w:pos="567"/>
                <w:tab w:val="left" w:pos="1134"/>
                <w:tab w:val="left" w:pos="1701"/>
                <w:tab w:val="left" w:pos="2268"/>
              </w:tabs>
              <w:jc w:val="right"/>
              <w:rPr>
                <w:rFonts w:cs="Arial"/>
                <w:sz w:val="18"/>
                <w:szCs w:val="18"/>
              </w:rPr>
            </w:pPr>
          </w:p>
        </w:tc>
        <w:tc>
          <w:tcPr>
            <w:tcW w:w="737" w:type="pct"/>
            <w:tcBorders>
              <w:top w:val="single" w:sz="4" w:space="0" w:color="auto"/>
              <w:left w:val="nil"/>
              <w:bottom w:val="nil"/>
              <w:right w:val="nil"/>
            </w:tcBorders>
          </w:tcPr>
          <w:p w:rsidR="008B20B2" w:rsidRPr="008B20B2" w:rsidRDefault="008B20B2" w:rsidP="00704CC0">
            <w:pPr>
              <w:keepNext/>
              <w:keepLines/>
              <w:tabs>
                <w:tab w:val="left" w:pos="567"/>
                <w:tab w:val="left" w:pos="1134"/>
                <w:tab w:val="left" w:pos="1701"/>
                <w:tab w:val="left" w:pos="2268"/>
              </w:tabs>
              <w:jc w:val="right"/>
              <w:rPr>
                <w:rFonts w:cs="Arial"/>
                <w:sz w:val="18"/>
                <w:szCs w:val="18"/>
              </w:rPr>
            </w:pPr>
          </w:p>
        </w:tc>
        <w:tc>
          <w:tcPr>
            <w:tcW w:w="541" w:type="pct"/>
            <w:tcBorders>
              <w:top w:val="single" w:sz="4" w:space="0" w:color="auto"/>
              <w:left w:val="nil"/>
              <w:bottom w:val="nil"/>
              <w:right w:val="nil"/>
            </w:tcBorders>
            <w:shd w:val="clear" w:color="auto" w:fill="auto"/>
            <w:noWrap/>
            <w:vAlign w:val="bottom"/>
          </w:tcPr>
          <w:p w:rsidR="008B20B2" w:rsidRPr="008B20B2" w:rsidRDefault="008B20B2" w:rsidP="00704CC0">
            <w:pPr>
              <w:keepNext/>
              <w:keepLines/>
              <w:tabs>
                <w:tab w:val="left" w:pos="567"/>
                <w:tab w:val="left" w:pos="1134"/>
                <w:tab w:val="left" w:pos="1701"/>
                <w:tab w:val="left" w:pos="2268"/>
              </w:tabs>
              <w:jc w:val="right"/>
              <w:rPr>
                <w:rFonts w:cs="Arial"/>
                <w:sz w:val="18"/>
                <w:szCs w:val="18"/>
              </w:rPr>
            </w:pPr>
          </w:p>
        </w:tc>
      </w:tr>
      <w:tr w:rsidR="008B20B2" w:rsidRPr="00A76890" w:rsidTr="00562F9C">
        <w:tc>
          <w:tcPr>
            <w:tcW w:w="2246" w:type="pct"/>
            <w:tcBorders>
              <w:top w:val="nil"/>
              <w:left w:val="nil"/>
              <w:bottom w:val="nil"/>
              <w:right w:val="nil"/>
            </w:tcBorders>
            <w:shd w:val="clear" w:color="auto" w:fill="auto"/>
            <w:noWrap/>
            <w:vAlign w:val="bottom"/>
          </w:tcPr>
          <w:p w:rsidR="008B20B2" w:rsidRPr="008B20B2" w:rsidRDefault="008B20B2" w:rsidP="00704CC0">
            <w:pPr>
              <w:keepNext/>
              <w:keepLines/>
              <w:tabs>
                <w:tab w:val="left" w:pos="567"/>
                <w:tab w:val="left" w:pos="1134"/>
                <w:tab w:val="left" w:pos="1701"/>
                <w:tab w:val="left" w:pos="2268"/>
              </w:tabs>
              <w:ind w:left="567"/>
              <w:rPr>
                <w:rFonts w:cs="Arial"/>
                <w:sz w:val="18"/>
                <w:szCs w:val="18"/>
              </w:rPr>
            </w:pPr>
            <w:r w:rsidRPr="008B20B2">
              <w:rPr>
                <w:rFonts w:cs="Arial"/>
                <w:sz w:val="18"/>
                <w:szCs w:val="18"/>
              </w:rPr>
              <w:t xml:space="preserve">Issued and fully paid ordinary </w:t>
            </w:r>
          </w:p>
        </w:tc>
        <w:tc>
          <w:tcPr>
            <w:tcW w:w="753" w:type="pct"/>
            <w:tcBorders>
              <w:top w:val="nil"/>
              <w:left w:val="nil"/>
              <w:right w:val="nil"/>
            </w:tcBorders>
          </w:tcPr>
          <w:p w:rsidR="008B20B2" w:rsidRPr="008B20B2" w:rsidRDefault="008B20B2" w:rsidP="00704CC0">
            <w:pPr>
              <w:keepNext/>
              <w:keepLines/>
              <w:tabs>
                <w:tab w:val="left" w:pos="567"/>
                <w:tab w:val="left" w:pos="1134"/>
                <w:tab w:val="left" w:pos="1701"/>
                <w:tab w:val="left" w:pos="2268"/>
              </w:tabs>
              <w:jc w:val="right"/>
              <w:rPr>
                <w:rFonts w:cs="Arial"/>
                <w:b/>
                <w:sz w:val="18"/>
                <w:szCs w:val="18"/>
              </w:rPr>
            </w:pPr>
          </w:p>
        </w:tc>
        <w:tc>
          <w:tcPr>
            <w:tcW w:w="559" w:type="pct"/>
            <w:tcBorders>
              <w:top w:val="nil"/>
              <w:left w:val="nil"/>
              <w:right w:val="nil"/>
            </w:tcBorders>
            <w:shd w:val="clear" w:color="auto" w:fill="auto"/>
            <w:noWrap/>
            <w:vAlign w:val="bottom"/>
          </w:tcPr>
          <w:p w:rsidR="008B20B2" w:rsidRPr="008B20B2" w:rsidRDefault="008B20B2" w:rsidP="00704CC0">
            <w:pPr>
              <w:keepNext/>
              <w:keepLines/>
              <w:tabs>
                <w:tab w:val="left" w:pos="567"/>
                <w:tab w:val="left" w:pos="1134"/>
                <w:tab w:val="left" w:pos="1701"/>
                <w:tab w:val="left" w:pos="2268"/>
              </w:tabs>
              <w:jc w:val="right"/>
              <w:rPr>
                <w:rFonts w:cs="Arial"/>
                <w:b/>
                <w:sz w:val="18"/>
                <w:szCs w:val="18"/>
              </w:rPr>
            </w:pPr>
          </w:p>
        </w:tc>
        <w:tc>
          <w:tcPr>
            <w:tcW w:w="164" w:type="pct"/>
            <w:tcBorders>
              <w:top w:val="nil"/>
              <w:left w:val="nil"/>
              <w:right w:val="nil"/>
            </w:tcBorders>
            <w:shd w:val="clear" w:color="auto" w:fill="auto"/>
            <w:noWrap/>
            <w:vAlign w:val="bottom"/>
          </w:tcPr>
          <w:p w:rsidR="008B20B2" w:rsidRPr="008B20B2" w:rsidRDefault="008B20B2" w:rsidP="00704CC0">
            <w:pPr>
              <w:keepNext/>
              <w:keepLines/>
              <w:tabs>
                <w:tab w:val="left" w:pos="567"/>
                <w:tab w:val="left" w:pos="1134"/>
                <w:tab w:val="left" w:pos="1701"/>
                <w:tab w:val="left" w:pos="2268"/>
              </w:tabs>
              <w:jc w:val="right"/>
              <w:rPr>
                <w:rFonts w:cs="Arial"/>
                <w:sz w:val="18"/>
                <w:szCs w:val="18"/>
              </w:rPr>
            </w:pPr>
          </w:p>
        </w:tc>
        <w:tc>
          <w:tcPr>
            <w:tcW w:w="737" w:type="pct"/>
            <w:tcBorders>
              <w:top w:val="nil"/>
              <w:left w:val="nil"/>
              <w:right w:val="nil"/>
            </w:tcBorders>
          </w:tcPr>
          <w:p w:rsidR="008B20B2" w:rsidRPr="008B20B2" w:rsidRDefault="008B20B2" w:rsidP="00704CC0">
            <w:pPr>
              <w:keepNext/>
              <w:keepLines/>
              <w:tabs>
                <w:tab w:val="left" w:pos="567"/>
                <w:tab w:val="left" w:pos="1134"/>
                <w:tab w:val="left" w:pos="1701"/>
                <w:tab w:val="left" w:pos="2268"/>
              </w:tabs>
              <w:jc w:val="right"/>
              <w:rPr>
                <w:rFonts w:cs="Arial"/>
                <w:sz w:val="18"/>
                <w:szCs w:val="18"/>
              </w:rPr>
            </w:pPr>
          </w:p>
        </w:tc>
        <w:tc>
          <w:tcPr>
            <w:tcW w:w="541" w:type="pct"/>
            <w:tcBorders>
              <w:top w:val="nil"/>
              <w:left w:val="nil"/>
              <w:right w:val="nil"/>
            </w:tcBorders>
            <w:shd w:val="clear" w:color="auto" w:fill="auto"/>
            <w:noWrap/>
            <w:vAlign w:val="bottom"/>
          </w:tcPr>
          <w:p w:rsidR="008B20B2" w:rsidRPr="008B20B2" w:rsidRDefault="008B20B2" w:rsidP="00704CC0">
            <w:pPr>
              <w:keepNext/>
              <w:keepLines/>
              <w:tabs>
                <w:tab w:val="left" w:pos="567"/>
                <w:tab w:val="left" w:pos="1134"/>
                <w:tab w:val="left" w:pos="1701"/>
                <w:tab w:val="left" w:pos="2268"/>
              </w:tabs>
              <w:jc w:val="right"/>
              <w:rPr>
                <w:rFonts w:cs="Arial"/>
                <w:sz w:val="18"/>
                <w:szCs w:val="18"/>
              </w:rPr>
            </w:pPr>
          </w:p>
        </w:tc>
      </w:tr>
      <w:tr w:rsidR="008B20B2" w:rsidRPr="00A76890" w:rsidTr="00562F9C">
        <w:tc>
          <w:tcPr>
            <w:tcW w:w="2246" w:type="pct"/>
            <w:tcBorders>
              <w:top w:val="nil"/>
              <w:left w:val="nil"/>
              <w:bottom w:val="nil"/>
              <w:right w:val="nil"/>
            </w:tcBorders>
            <w:shd w:val="clear" w:color="auto" w:fill="auto"/>
            <w:noWrap/>
            <w:vAlign w:val="bottom"/>
          </w:tcPr>
          <w:p w:rsidR="008B20B2" w:rsidRPr="008B20B2" w:rsidRDefault="008B20B2" w:rsidP="00704CC0">
            <w:pPr>
              <w:keepNext/>
              <w:keepLines/>
              <w:tabs>
                <w:tab w:val="left" w:pos="567"/>
                <w:tab w:val="left" w:pos="1134"/>
                <w:tab w:val="left" w:pos="1701"/>
                <w:tab w:val="left" w:pos="2268"/>
              </w:tabs>
              <w:ind w:left="567"/>
              <w:rPr>
                <w:rFonts w:cs="Arial"/>
                <w:sz w:val="18"/>
                <w:szCs w:val="18"/>
              </w:rPr>
            </w:pPr>
            <w:r w:rsidRPr="008B20B2">
              <w:rPr>
                <w:rFonts w:cs="Arial"/>
                <w:sz w:val="18"/>
                <w:szCs w:val="18"/>
              </w:rPr>
              <w:t>shares of  1p each-beginning of year</w:t>
            </w:r>
          </w:p>
        </w:tc>
        <w:tc>
          <w:tcPr>
            <w:tcW w:w="753" w:type="pct"/>
            <w:tcBorders>
              <w:top w:val="nil"/>
              <w:left w:val="nil"/>
              <w:right w:val="nil"/>
            </w:tcBorders>
          </w:tcPr>
          <w:p w:rsidR="008B20B2" w:rsidRPr="008B20B2" w:rsidRDefault="008B20B2" w:rsidP="00704CC0">
            <w:pPr>
              <w:keepNext/>
              <w:keepLines/>
              <w:tabs>
                <w:tab w:val="left" w:pos="567"/>
                <w:tab w:val="left" w:pos="1134"/>
                <w:tab w:val="left" w:pos="1701"/>
                <w:tab w:val="left" w:pos="2268"/>
              </w:tabs>
              <w:jc w:val="right"/>
              <w:rPr>
                <w:rFonts w:cs="Arial"/>
                <w:b/>
                <w:sz w:val="18"/>
                <w:szCs w:val="18"/>
              </w:rPr>
            </w:pPr>
            <w:r w:rsidRPr="008B20B2">
              <w:rPr>
                <w:rFonts w:cs="Arial"/>
                <w:b/>
                <w:sz w:val="18"/>
                <w:szCs w:val="18"/>
              </w:rPr>
              <w:t>47,739,411</w:t>
            </w:r>
          </w:p>
        </w:tc>
        <w:tc>
          <w:tcPr>
            <w:tcW w:w="559" w:type="pct"/>
            <w:tcBorders>
              <w:top w:val="nil"/>
              <w:left w:val="nil"/>
              <w:right w:val="nil"/>
            </w:tcBorders>
            <w:shd w:val="clear" w:color="auto" w:fill="auto"/>
            <w:noWrap/>
            <w:vAlign w:val="bottom"/>
          </w:tcPr>
          <w:p w:rsidR="008B20B2" w:rsidRPr="008B20B2" w:rsidRDefault="008B20B2" w:rsidP="00704CC0">
            <w:pPr>
              <w:keepNext/>
              <w:keepLines/>
              <w:tabs>
                <w:tab w:val="left" w:pos="567"/>
                <w:tab w:val="left" w:pos="1134"/>
                <w:tab w:val="left" w:pos="1701"/>
                <w:tab w:val="left" w:pos="2268"/>
              </w:tabs>
              <w:jc w:val="right"/>
              <w:rPr>
                <w:rFonts w:cs="Arial"/>
                <w:b/>
                <w:sz w:val="18"/>
                <w:szCs w:val="18"/>
              </w:rPr>
            </w:pPr>
            <w:r w:rsidRPr="008B20B2">
              <w:rPr>
                <w:rFonts w:cs="Arial"/>
                <w:b/>
                <w:sz w:val="18"/>
                <w:szCs w:val="18"/>
              </w:rPr>
              <w:t>477</w:t>
            </w:r>
          </w:p>
        </w:tc>
        <w:tc>
          <w:tcPr>
            <w:tcW w:w="164" w:type="pct"/>
            <w:tcBorders>
              <w:top w:val="nil"/>
              <w:left w:val="nil"/>
              <w:right w:val="nil"/>
            </w:tcBorders>
            <w:shd w:val="clear" w:color="auto" w:fill="auto"/>
            <w:noWrap/>
            <w:vAlign w:val="bottom"/>
          </w:tcPr>
          <w:p w:rsidR="008B20B2" w:rsidRPr="008B20B2" w:rsidRDefault="008B20B2" w:rsidP="00704CC0">
            <w:pPr>
              <w:keepNext/>
              <w:keepLines/>
              <w:tabs>
                <w:tab w:val="left" w:pos="567"/>
                <w:tab w:val="left" w:pos="1134"/>
                <w:tab w:val="left" w:pos="1701"/>
                <w:tab w:val="left" w:pos="2268"/>
              </w:tabs>
              <w:jc w:val="right"/>
              <w:rPr>
                <w:rFonts w:cs="Arial"/>
                <w:sz w:val="18"/>
                <w:szCs w:val="18"/>
              </w:rPr>
            </w:pPr>
          </w:p>
        </w:tc>
        <w:tc>
          <w:tcPr>
            <w:tcW w:w="737" w:type="pct"/>
            <w:tcBorders>
              <w:top w:val="nil"/>
              <w:left w:val="nil"/>
              <w:right w:val="nil"/>
            </w:tcBorders>
          </w:tcPr>
          <w:p w:rsidR="008B20B2" w:rsidRPr="008B20B2" w:rsidRDefault="008B20B2" w:rsidP="00704CC0">
            <w:pPr>
              <w:keepNext/>
              <w:keepLines/>
              <w:tabs>
                <w:tab w:val="left" w:pos="567"/>
                <w:tab w:val="left" w:pos="1134"/>
                <w:tab w:val="left" w:pos="1701"/>
                <w:tab w:val="left" w:pos="2268"/>
              </w:tabs>
              <w:jc w:val="right"/>
              <w:rPr>
                <w:rFonts w:cs="Arial"/>
                <w:sz w:val="18"/>
                <w:szCs w:val="18"/>
              </w:rPr>
            </w:pPr>
            <w:r w:rsidRPr="008B20B2">
              <w:rPr>
                <w:rFonts w:cs="Arial"/>
                <w:sz w:val="18"/>
                <w:szCs w:val="18"/>
              </w:rPr>
              <w:t>48,400,411</w:t>
            </w:r>
          </w:p>
        </w:tc>
        <w:tc>
          <w:tcPr>
            <w:tcW w:w="541" w:type="pct"/>
            <w:tcBorders>
              <w:top w:val="nil"/>
              <w:left w:val="nil"/>
              <w:right w:val="nil"/>
            </w:tcBorders>
            <w:shd w:val="clear" w:color="auto" w:fill="auto"/>
            <w:noWrap/>
            <w:vAlign w:val="bottom"/>
          </w:tcPr>
          <w:p w:rsidR="008B20B2" w:rsidRPr="008B20B2" w:rsidRDefault="008B20B2" w:rsidP="00704CC0">
            <w:pPr>
              <w:keepNext/>
              <w:keepLines/>
              <w:tabs>
                <w:tab w:val="left" w:pos="567"/>
                <w:tab w:val="left" w:pos="1134"/>
                <w:tab w:val="left" w:pos="1701"/>
                <w:tab w:val="left" w:pos="2268"/>
              </w:tabs>
              <w:jc w:val="right"/>
              <w:rPr>
                <w:rFonts w:cs="Arial"/>
                <w:sz w:val="18"/>
                <w:szCs w:val="18"/>
              </w:rPr>
            </w:pPr>
            <w:r w:rsidRPr="008B20B2">
              <w:rPr>
                <w:rFonts w:cs="Arial"/>
                <w:sz w:val="18"/>
                <w:szCs w:val="18"/>
              </w:rPr>
              <w:t>484</w:t>
            </w:r>
          </w:p>
        </w:tc>
      </w:tr>
      <w:tr w:rsidR="008B20B2" w:rsidRPr="00A76890" w:rsidTr="00562F9C">
        <w:tc>
          <w:tcPr>
            <w:tcW w:w="2246" w:type="pct"/>
            <w:tcBorders>
              <w:top w:val="nil"/>
              <w:left w:val="nil"/>
              <w:bottom w:val="nil"/>
              <w:right w:val="nil"/>
            </w:tcBorders>
            <w:shd w:val="clear" w:color="auto" w:fill="auto"/>
            <w:noWrap/>
            <w:vAlign w:val="bottom"/>
          </w:tcPr>
          <w:p w:rsidR="008B20B2" w:rsidRPr="008B20B2" w:rsidRDefault="008B20B2" w:rsidP="00704CC0">
            <w:pPr>
              <w:keepNext/>
              <w:keepLines/>
              <w:tabs>
                <w:tab w:val="left" w:pos="567"/>
                <w:tab w:val="left" w:pos="1134"/>
                <w:tab w:val="left" w:pos="1701"/>
                <w:tab w:val="left" w:pos="2268"/>
              </w:tabs>
              <w:ind w:left="567"/>
              <w:rPr>
                <w:rFonts w:cs="Arial"/>
                <w:sz w:val="18"/>
                <w:szCs w:val="18"/>
              </w:rPr>
            </w:pPr>
            <w:r w:rsidRPr="008B20B2">
              <w:rPr>
                <w:rFonts w:cs="Arial"/>
                <w:sz w:val="18"/>
                <w:szCs w:val="18"/>
              </w:rPr>
              <w:t>Buy-back of ordinary 1p shares*</w:t>
            </w:r>
          </w:p>
        </w:tc>
        <w:tc>
          <w:tcPr>
            <w:tcW w:w="753" w:type="pct"/>
            <w:tcBorders>
              <w:left w:val="nil"/>
              <w:bottom w:val="single" w:sz="4" w:space="0" w:color="auto"/>
              <w:right w:val="nil"/>
            </w:tcBorders>
          </w:tcPr>
          <w:p w:rsidR="008B20B2" w:rsidRPr="008B20B2" w:rsidRDefault="008B20B2" w:rsidP="00704CC0">
            <w:pPr>
              <w:keepNext/>
              <w:keepLines/>
              <w:tabs>
                <w:tab w:val="left" w:pos="567"/>
                <w:tab w:val="left" w:pos="1134"/>
                <w:tab w:val="left" w:pos="1701"/>
                <w:tab w:val="left" w:pos="2268"/>
              </w:tabs>
              <w:jc w:val="right"/>
              <w:rPr>
                <w:rFonts w:cs="Arial"/>
                <w:b/>
                <w:sz w:val="18"/>
                <w:szCs w:val="18"/>
              </w:rPr>
            </w:pPr>
            <w:r w:rsidRPr="008B20B2">
              <w:rPr>
                <w:rFonts w:cs="Arial"/>
                <w:b/>
                <w:sz w:val="18"/>
                <w:szCs w:val="18"/>
              </w:rPr>
              <w:t>(23,076,900)</w:t>
            </w:r>
          </w:p>
        </w:tc>
        <w:tc>
          <w:tcPr>
            <w:tcW w:w="559" w:type="pct"/>
            <w:tcBorders>
              <w:left w:val="nil"/>
              <w:bottom w:val="single" w:sz="4" w:space="0" w:color="auto"/>
              <w:right w:val="nil"/>
            </w:tcBorders>
            <w:shd w:val="clear" w:color="auto" w:fill="auto"/>
            <w:noWrap/>
            <w:vAlign w:val="bottom"/>
          </w:tcPr>
          <w:p w:rsidR="008B20B2" w:rsidRPr="008B20B2" w:rsidRDefault="008B20B2" w:rsidP="00704CC0">
            <w:pPr>
              <w:keepNext/>
              <w:keepLines/>
              <w:tabs>
                <w:tab w:val="left" w:pos="567"/>
                <w:tab w:val="left" w:pos="1134"/>
                <w:tab w:val="left" w:pos="1701"/>
                <w:tab w:val="left" w:pos="2268"/>
              </w:tabs>
              <w:jc w:val="right"/>
              <w:rPr>
                <w:rFonts w:cs="Arial"/>
                <w:b/>
                <w:sz w:val="18"/>
                <w:szCs w:val="18"/>
              </w:rPr>
            </w:pPr>
            <w:r w:rsidRPr="008B20B2">
              <w:rPr>
                <w:rFonts w:cs="Arial"/>
                <w:b/>
                <w:sz w:val="18"/>
                <w:szCs w:val="18"/>
              </w:rPr>
              <w:t>(231)</w:t>
            </w:r>
          </w:p>
        </w:tc>
        <w:tc>
          <w:tcPr>
            <w:tcW w:w="164" w:type="pct"/>
            <w:tcBorders>
              <w:left w:val="nil"/>
              <w:right w:val="nil"/>
            </w:tcBorders>
            <w:shd w:val="clear" w:color="auto" w:fill="auto"/>
            <w:noWrap/>
            <w:vAlign w:val="bottom"/>
          </w:tcPr>
          <w:p w:rsidR="008B20B2" w:rsidRPr="008B20B2" w:rsidRDefault="008B20B2" w:rsidP="00704CC0">
            <w:pPr>
              <w:keepNext/>
              <w:keepLines/>
              <w:tabs>
                <w:tab w:val="left" w:pos="567"/>
                <w:tab w:val="left" w:pos="1134"/>
                <w:tab w:val="left" w:pos="1701"/>
                <w:tab w:val="left" w:pos="2268"/>
              </w:tabs>
              <w:jc w:val="right"/>
              <w:rPr>
                <w:rFonts w:cs="Arial"/>
                <w:sz w:val="18"/>
                <w:szCs w:val="18"/>
              </w:rPr>
            </w:pPr>
          </w:p>
        </w:tc>
        <w:tc>
          <w:tcPr>
            <w:tcW w:w="737" w:type="pct"/>
            <w:tcBorders>
              <w:left w:val="nil"/>
              <w:bottom w:val="single" w:sz="4" w:space="0" w:color="auto"/>
              <w:right w:val="nil"/>
            </w:tcBorders>
          </w:tcPr>
          <w:p w:rsidR="008B20B2" w:rsidRPr="008B20B2" w:rsidRDefault="008B20B2" w:rsidP="00704CC0">
            <w:pPr>
              <w:keepNext/>
              <w:keepLines/>
              <w:tabs>
                <w:tab w:val="left" w:pos="567"/>
                <w:tab w:val="left" w:pos="1134"/>
                <w:tab w:val="left" w:pos="1701"/>
                <w:tab w:val="left" w:pos="2268"/>
              </w:tabs>
              <w:jc w:val="right"/>
              <w:rPr>
                <w:rFonts w:cs="Arial"/>
                <w:sz w:val="18"/>
                <w:szCs w:val="18"/>
              </w:rPr>
            </w:pPr>
            <w:r w:rsidRPr="008B20B2">
              <w:rPr>
                <w:rFonts w:cs="Arial"/>
                <w:sz w:val="18"/>
                <w:szCs w:val="18"/>
              </w:rPr>
              <w:t>(661,000)</w:t>
            </w:r>
          </w:p>
        </w:tc>
        <w:tc>
          <w:tcPr>
            <w:tcW w:w="541" w:type="pct"/>
            <w:tcBorders>
              <w:left w:val="nil"/>
              <w:bottom w:val="single" w:sz="4" w:space="0" w:color="auto"/>
              <w:right w:val="nil"/>
            </w:tcBorders>
            <w:shd w:val="clear" w:color="auto" w:fill="auto"/>
            <w:noWrap/>
            <w:vAlign w:val="bottom"/>
          </w:tcPr>
          <w:p w:rsidR="008B20B2" w:rsidRPr="008B20B2" w:rsidRDefault="008B20B2" w:rsidP="00704CC0">
            <w:pPr>
              <w:keepNext/>
              <w:keepLines/>
              <w:tabs>
                <w:tab w:val="left" w:pos="567"/>
                <w:tab w:val="left" w:pos="1134"/>
                <w:tab w:val="left" w:pos="1701"/>
                <w:tab w:val="left" w:pos="2268"/>
              </w:tabs>
              <w:jc w:val="right"/>
              <w:rPr>
                <w:rFonts w:cs="Arial"/>
                <w:sz w:val="18"/>
                <w:szCs w:val="18"/>
              </w:rPr>
            </w:pPr>
            <w:r w:rsidRPr="008B20B2">
              <w:rPr>
                <w:rFonts w:cs="Arial"/>
                <w:sz w:val="18"/>
                <w:szCs w:val="18"/>
              </w:rPr>
              <w:t>(7)</w:t>
            </w:r>
          </w:p>
        </w:tc>
      </w:tr>
      <w:tr w:rsidR="008B20B2" w:rsidRPr="00A76890" w:rsidTr="00562F9C">
        <w:tc>
          <w:tcPr>
            <w:tcW w:w="2246" w:type="pct"/>
            <w:tcBorders>
              <w:top w:val="nil"/>
              <w:left w:val="nil"/>
              <w:bottom w:val="nil"/>
              <w:right w:val="nil"/>
            </w:tcBorders>
            <w:shd w:val="clear" w:color="auto" w:fill="auto"/>
            <w:noWrap/>
            <w:vAlign w:val="bottom"/>
          </w:tcPr>
          <w:p w:rsidR="008B20B2" w:rsidRPr="008B20B2" w:rsidRDefault="008B20B2" w:rsidP="00704CC0">
            <w:pPr>
              <w:tabs>
                <w:tab w:val="left" w:pos="567"/>
                <w:tab w:val="left" w:pos="1134"/>
                <w:tab w:val="left" w:pos="1701"/>
                <w:tab w:val="left" w:pos="2268"/>
              </w:tabs>
              <w:rPr>
                <w:rFonts w:cs="Arial"/>
                <w:sz w:val="18"/>
                <w:szCs w:val="18"/>
              </w:rPr>
            </w:pPr>
          </w:p>
        </w:tc>
        <w:tc>
          <w:tcPr>
            <w:tcW w:w="753" w:type="pct"/>
            <w:tcBorders>
              <w:top w:val="single" w:sz="4" w:space="0" w:color="auto"/>
              <w:left w:val="nil"/>
              <w:bottom w:val="single" w:sz="4" w:space="0" w:color="auto"/>
              <w:right w:val="nil"/>
            </w:tcBorders>
          </w:tcPr>
          <w:p w:rsidR="008B20B2" w:rsidRPr="008B20B2" w:rsidRDefault="008B20B2" w:rsidP="00704CC0">
            <w:pPr>
              <w:tabs>
                <w:tab w:val="left" w:pos="567"/>
                <w:tab w:val="left" w:pos="1134"/>
                <w:tab w:val="left" w:pos="1701"/>
                <w:tab w:val="left" w:pos="2268"/>
              </w:tabs>
              <w:jc w:val="right"/>
              <w:rPr>
                <w:rFonts w:cs="Arial"/>
                <w:b/>
                <w:sz w:val="18"/>
                <w:szCs w:val="18"/>
              </w:rPr>
            </w:pPr>
            <w:r w:rsidRPr="008B20B2">
              <w:rPr>
                <w:rFonts w:cs="Arial"/>
                <w:b/>
                <w:sz w:val="18"/>
                <w:szCs w:val="18"/>
              </w:rPr>
              <w:t>24,662,511</w:t>
            </w:r>
          </w:p>
        </w:tc>
        <w:tc>
          <w:tcPr>
            <w:tcW w:w="559" w:type="pct"/>
            <w:tcBorders>
              <w:left w:val="nil"/>
              <w:bottom w:val="single" w:sz="4" w:space="0" w:color="auto"/>
              <w:right w:val="nil"/>
            </w:tcBorders>
            <w:shd w:val="clear" w:color="auto" w:fill="auto"/>
            <w:noWrap/>
            <w:vAlign w:val="bottom"/>
          </w:tcPr>
          <w:p w:rsidR="008B20B2" w:rsidRPr="008B20B2" w:rsidRDefault="008B20B2" w:rsidP="00704CC0">
            <w:pPr>
              <w:tabs>
                <w:tab w:val="left" w:pos="567"/>
                <w:tab w:val="left" w:pos="1134"/>
                <w:tab w:val="left" w:pos="1701"/>
                <w:tab w:val="left" w:pos="2268"/>
              </w:tabs>
              <w:jc w:val="right"/>
              <w:rPr>
                <w:rFonts w:cs="Arial"/>
                <w:b/>
                <w:sz w:val="18"/>
                <w:szCs w:val="18"/>
              </w:rPr>
            </w:pPr>
            <w:r w:rsidRPr="008B20B2">
              <w:rPr>
                <w:rFonts w:cs="Arial"/>
                <w:b/>
                <w:sz w:val="18"/>
                <w:szCs w:val="18"/>
              </w:rPr>
              <w:t>246</w:t>
            </w:r>
          </w:p>
        </w:tc>
        <w:tc>
          <w:tcPr>
            <w:tcW w:w="164" w:type="pct"/>
            <w:tcBorders>
              <w:left w:val="nil"/>
              <w:right w:val="nil"/>
            </w:tcBorders>
            <w:shd w:val="clear" w:color="auto" w:fill="auto"/>
            <w:noWrap/>
            <w:vAlign w:val="bottom"/>
          </w:tcPr>
          <w:p w:rsidR="008B20B2" w:rsidRPr="008B20B2" w:rsidRDefault="008B20B2" w:rsidP="00704CC0">
            <w:pPr>
              <w:tabs>
                <w:tab w:val="left" w:pos="567"/>
                <w:tab w:val="left" w:pos="1134"/>
                <w:tab w:val="left" w:pos="1701"/>
                <w:tab w:val="left" w:pos="2268"/>
              </w:tabs>
              <w:jc w:val="right"/>
              <w:rPr>
                <w:rFonts w:cs="Arial"/>
                <w:sz w:val="18"/>
                <w:szCs w:val="18"/>
              </w:rPr>
            </w:pPr>
          </w:p>
        </w:tc>
        <w:tc>
          <w:tcPr>
            <w:tcW w:w="737" w:type="pct"/>
            <w:tcBorders>
              <w:top w:val="single" w:sz="4" w:space="0" w:color="auto"/>
              <w:left w:val="nil"/>
              <w:bottom w:val="single" w:sz="4" w:space="0" w:color="auto"/>
              <w:right w:val="nil"/>
            </w:tcBorders>
          </w:tcPr>
          <w:p w:rsidR="008B20B2" w:rsidRPr="008B20B2" w:rsidRDefault="008B20B2" w:rsidP="00704CC0">
            <w:pPr>
              <w:tabs>
                <w:tab w:val="left" w:pos="567"/>
                <w:tab w:val="left" w:pos="1134"/>
                <w:tab w:val="left" w:pos="1701"/>
                <w:tab w:val="left" w:pos="2268"/>
              </w:tabs>
              <w:jc w:val="right"/>
              <w:rPr>
                <w:rFonts w:cs="Arial"/>
                <w:sz w:val="18"/>
                <w:szCs w:val="18"/>
              </w:rPr>
            </w:pPr>
            <w:r w:rsidRPr="008B20B2">
              <w:rPr>
                <w:rFonts w:cs="Arial"/>
                <w:sz w:val="18"/>
                <w:szCs w:val="18"/>
              </w:rPr>
              <w:t>47,739,411</w:t>
            </w:r>
          </w:p>
        </w:tc>
        <w:tc>
          <w:tcPr>
            <w:tcW w:w="541" w:type="pct"/>
            <w:tcBorders>
              <w:left w:val="nil"/>
              <w:bottom w:val="single" w:sz="4" w:space="0" w:color="auto"/>
              <w:right w:val="nil"/>
            </w:tcBorders>
            <w:shd w:val="clear" w:color="auto" w:fill="auto"/>
            <w:noWrap/>
            <w:vAlign w:val="bottom"/>
          </w:tcPr>
          <w:p w:rsidR="008B20B2" w:rsidRPr="008B20B2" w:rsidRDefault="008B20B2" w:rsidP="00704CC0">
            <w:pPr>
              <w:tabs>
                <w:tab w:val="left" w:pos="567"/>
                <w:tab w:val="left" w:pos="1134"/>
                <w:tab w:val="left" w:pos="1701"/>
                <w:tab w:val="left" w:pos="2268"/>
              </w:tabs>
              <w:jc w:val="right"/>
              <w:rPr>
                <w:rFonts w:cs="Arial"/>
                <w:sz w:val="18"/>
                <w:szCs w:val="18"/>
              </w:rPr>
            </w:pPr>
            <w:r w:rsidRPr="008B20B2">
              <w:rPr>
                <w:rFonts w:cs="Arial"/>
                <w:sz w:val="18"/>
                <w:szCs w:val="18"/>
              </w:rPr>
              <w:t>477</w:t>
            </w:r>
          </w:p>
        </w:tc>
      </w:tr>
    </w:tbl>
    <w:p w:rsidR="00AE30CF" w:rsidRPr="00A76890" w:rsidRDefault="00ED1389" w:rsidP="00704CC0">
      <w:pPr>
        <w:pStyle w:val="Normal2-Para"/>
        <w:spacing w:line="240" w:lineRule="auto"/>
        <w:ind w:left="567"/>
      </w:pPr>
      <w:r>
        <w:t xml:space="preserve">* </w:t>
      </w:r>
      <w:r w:rsidR="00D665B8" w:rsidRPr="00A76890">
        <w:t xml:space="preserve">On </w:t>
      </w:r>
      <w:r w:rsidR="00176600" w:rsidRPr="00A76890">
        <w:t xml:space="preserve">3 April </w:t>
      </w:r>
      <w:r w:rsidR="00D665B8" w:rsidRPr="00A76890">
        <w:t>201</w:t>
      </w:r>
      <w:r w:rsidR="00176600" w:rsidRPr="00A76890">
        <w:t>3</w:t>
      </w:r>
      <w:r w:rsidR="00D665B8" w:rsidRPr="00A76890">
        <w:t xml:space="preserve">, </w:t>
      </w:r>
      <w:r w:rsidR="004B66AD" w:rsidRPr="00A76890">
        <w:t>t</w:t>
      </w:r>
      <w:r w:rsidR="0092140F" w:rsidRPr="00A76890">
        <w:t xml:space="preserve">he Company bought back and cancelled a total of </w:t>
      </w:r>
      <w:r w:rsidR="00176600" w:rsidRPr="00A76890">
        <w:t>23,076,900</w:t>
      </w:r>
      <w:r w:rsidR="0092140F" w:rsidRPr="00A76890">
        <w:t xml:space="preserve"> ordinary shares at a price of 3</w:t>
      </w:r>
      <w:r w:rsidR="00176600" w:rsidRPr="00A76890">
        <w:t>9</w:t>
      </w:r>
      <w:r w:rsidR="0092140F" w:rsidRPr="00A76890">
        <w:t>p</w:t>
      </w:r>
      <w:r w:rsidR="00D665B8" w:rsidRPr="00A76890">
        <w:t xml:space="preserve"> per share</w:t>
      </w:r>
      <w:r w:rsidR="001B7729" w:rsidRPr="00A76890">
        <w:t xml:space="preserve"> (2012: bought back and cancelled 661,000 ordinary shares at a price of 35p)</w:t>
      </w:r>
      <w:r w:rsidR="00D665B8" w:rsidRPr="00A76890">
        <w:t>.</w:t>
      </w:r>
      <w:r w:rsidR="0092140F" w:rsidRPr="00A76890">
        <w:t xml:space="preserve"> The cancellation of share capital is reflected in the share capital and distributable capital reserve accounts in</w:t>
      </w:r>
      <w:r w:rsidR="00D665B8" w:rsidRPr="00A76890">
        <w:t xml:space="preserve"> the </w:t>
      </w:r>
      <w:r w:rsidR="0092140F" w:rsidRPr="00A76890">
        <w:t>consolidated statement of change in equity.</w:t>
      </w:r>
    </w:p>
    <w:p w:rsidR="00A779E7" w:rsidRPr="00A76890" w:rsidRDefault="0092140F" w:rsidP="00704CC0">
      <w:pPr>
        <w:pStyle w:val="Normal2-Para"/>
        <w:spacing w:line="240" w:lineRule="auto"/>
        <w:ind w:left="567"/>
      </w:pPr>
      <w:r w:rsidRPr="00A76890">
        <w:t xml:space="preserve">The Company’s share capital comprises ordinary shares. Rights attached to ordinary shares include the right to vote at the Company’s meetings of shareholders including </w:t>
      </w:r>
      <w:r w:rsidR="0099000B" w:rsidRPr="00A76890">
        <w:t xml:space="preserve">the </w:t>
      </w:r>
      <w:r w:rsidRPr="00A76890">
        <w:t xml:space="preserve">AGM and </w:t>
      </w:r>
      <w:r w:rsidR="007A76DD" w:rsidRPr="00A76890">
        <w:t xml:space="preserve">to </w:t>
      </w:r>
      <w:r w:rsidRPr="00A76890">
        <w:t>receive future dividends.</w:t>
      </w:r>
      <w:r w:rsidR="00A779E7" w:rsidRPr="00A76890">
        <w:t xml:space="preserve"> </w:t>
      </w:r>
    </w:p>
    <w:p w:rsidR="00863596" w:rsidRPr="0010395A" w:rsidRDefault="0092140F" w:rsidP="00704CC0">
      <w:pPr>
        <w:keepNext/>
        <w:keepLines/>
        <w:numPr>
          <w:ilvl w:val="0"/>
          <w:numId w:val="4"/>
        </w:numPr>
        <w:tabs>
          <w:tab w:val="clear" w:pos="810"/>
          <w:tab w:val="left" w:pos="567"/>
          <w:tab w:val="left" w:pos="1134"/>
          <w:tab w:val="left" w:pos="1701"/>
          <w:tab w:val="left" w:pos="2268"/>
        </w:tabs>
        <w:spacing w:before="240" w:after="120"/>
        <w:ind w:left="567" w:hanging="567"/>
        <w:rPr>
          <w:rFonts w:cs="Arial"/>
          <w:b/>
        </w:rPr>
      </w:pPr>
      <w:r w:rsidRPr="0010395A">
        <w:rPr>
          <w:rFonts w:cs="Arial"/>
          <w:b/>
        </w:rPr>
        <w:t>Loss and net asset value per share</w:t>
      </w:r>
    </w:p>
    <w:tbl>
      <w:tblPr>
        <w:tblW w:w="8953" w:type="dxa"/>
        <w:tblLayout w:type="fixed"/>
        <w:tblCellMar>
          <w:top w:w="28" w:type="dxa"/>
          <w:left w:w="57" w:type="dxa"/>
          <w:bottom w:w="28" w:type="dxa"/>
          <w:right w:w="57" w:type="dxa"/>
        </w:tblCellMar>
        <w:tblLook w:val="0000"/>
      </w:tblPr>
      <w:tblGrid>
        <w:gridCol w:w="5149"/>
        <w:gridCol w:w="1791"/>
        <w:gridCol w:w="224"/>
        <w:gridCol w:w="1789"/>
      </w:tblGrid>
      <w:tr w:rsidR="0092140F" w:rsidRPr="0010395A" w:rsidTr="00562F9C">
        <w:trPr>
          <w:trHeight w:val="20"/>
          <w:tblHeader/>
        </w:trPr>
        <w:tc>
          <w:tcPr>
            <w:tcW w:w="2876" w:type="pct"/>
            <w:tcBorders>
              <w:top w:val="nil"/>
              <w:left w:val="nil"/>
              <w:bottom w:val="nil"/>
              <w:right w:val="nil"/>
            </w:tcBorders>
            <w:shd w:val="clear" w:color="auto" w:fill="auto"/>
            <w:noWrap/>
            <w:vAlign w:val="bottom"/>
          </w:tcPr>
          <w:p w:rsidR="0092140F" w:rsidRPr="0010395A" w:rsidRDefault="0092140F" w:rsidP="00704CC0">
            <w:pPr>
              <w:keepNext/>
              <w:keepLines/>
              <w:tabs>
                <w:tab w:val="left" w:pos="567"/>
                <w:tab w:val="left" w:pos="1134"/>
                <w:tab w:val="left" w:pos="1701"/>
                <w:tab w:val="left" w:pos="2268"/>
              </w:tabs>
              <w:ind w:left="567"/>
              <w:rPr>
                <w:rFonts w:cs="Arial"/>
                <w:sz w:val="18"/>
                <w:szCs w:val="18"/>
              </w:rPr>
            </w:pPr>
          </w:p>
        </w:tc>
        <w:tc>
          <w:tcPr>
            <w:tcW w:w="1000" w:type="pct"/>
            <w:tcBorders>
              <w:top w:val="nil"/>
              <w:left w:val="nil"/>
              <w:right w:val="nil"/>
            </w:tcBorders>
            <w:shd w:val="clear" w:color="auto" w:fill="auto"/>
            <w:noWrap/>
            <w:vAlign w:val="bottom"/>
          </w:tcPr>
          <w:p w:rsidR="0092140F" w:rsidRPr="0010395A" w:rsidRDefault="0092140F" w:rsidP="00704CC0">
            <w:pPr>
              <w:tabs>
                <w:tab w:val="left" w:pos="567"/>
                <w:tab w:val="left" w:pos="1134"/>
                <w:tab w:val="left" w:pos="1701"/>
                <w:tab w:val="left" w:pos="2268"/>
              </w:tabs>
              <w:jc w:val="right"/>
              <w:rPr>
                <w:rFonts w:cs="Arial"/>
                <w:b/>
                <w:sz w:val="18"/>
                <w:szCs w:val="18"/>
              </w:rPr>
            </w:pPr>
            <w:r w:rsidRPr="0010395A">
              <w:rPr>
                <w:rFonts w:cs="Arial"/>
                <w:b/>
                <w:sz w:val="18"/>
                <w:szCs w:val="18"/>
              </w:rPr>
              <w:t>201</w:t>
            </w:r>
            <w:r w:rsidR="006D1E99" w:rsidRPr="0010395A">
              <w:rPr>
                <w:rFonts w:cs="Arial"/>
                <w:b/>
                <w:sz w:val="18"/>
                <w:szCs w:val="18"/>
              </w:rPr>
              <w:t>3</w:t>
            </w:r>
          </w:p>
        </w:tc>
        <w:tc>
          <w:tcPr>
            <w:tcW w:w="125" w:type="pct"/>
            <w:tcBorders>
              <w:top w:val="nil"/>
              <w:left w:val="nil"/>
              <w:right w:val="nil"/>
            </w:tcBorders>
            <w:shd w:val="clear" w:color="auto" w:fill="auto"/>
            <w:noWrap/>
            <w:vAlign w:val="bottom"/>
          </w:tcPr>
          <w:p w:rsidR="0092140F" w:rsidRPr="0010395A" w:rsidRDefault="0092140F" w:rsidP="00704CC0">
            <w:pPr>
              <w:tabs>
                <w:tab w:val="left" w:pos="567"/>
                <w:tab w:val="left" w:pos="1134"/>
                <w:tab w:val="left" w:pos="1701"/>
                <w:tab w:val="left" w:pos="2268"/>
              </w:tabs>
              <w:jc w:val="right"/>
              <w:rPr>
                <w:rFonts w:cs="Arial"/>
                <w:sz w:val="18"/>
                <w:szCs w:val="18"/>
              </w:rPr>
            </w:pPr>
          </w:p>
        </w:tc>
        <w:tc>
          <w:tcPr>
            <w:tcW w:w="1000" w:type="pct"/>
            <w:tcBorders>
              <w:top w:val="nil"/>
              <w:left w:val="nil"/>
              <w:right w:val="nil"/>
            </w:tcBorders>
            <w:vAlign w:val="bottom"/>
          </w:tcPr>
          <w:p w:rsidR="0092140F" w:rsidRPr="0010395A" w:rsidRDefault="0092140F" w:rsidP="00704CC0">
            <w:pPr>
              <w:tabs>
                <w:tab w:val="left" w:pos="567"/>
                <w:tab w:val="left" w:pos="1134"/>
                <w:tab w:val="left" w:pos="1701"/>
                <w:tab w:val="left" w:pos="2268"/>
              </w:tabs>
              <w:jc w:val="right"/>
              <w:rPr>
                <w:rFonts w:cs="Arial"/>
                <w:sz w:val="18"/>
                <w:szCs w:val="18"/>
              </w:rPr>
            </w:pPr>
            <w:r w:rsidRPr="0010395A">
              <w:rPr>
                <w:rFonts w:cs="Arial"/>
                <w:sz w:val="18"/>
                <w:szCs w:val="18"/>
              </w:rPr>
              <w:t>201</w:t>
            </w:r>
            <w:r w:rsidR="006D1E99" w:rsidRPr="0010395A">
              <w:rPr>
                <w:rFonts w:cs="Arial"/>
                <w:sz w:val="18"/>
                <w:szCs w:val="18"/>
              </w:rPr>
              <w:t>2</w:t>
            </w:r>
          </w:p>
        </w:tc>
      </w:tr>
      <w:tr w:rsidR="006D1E99" w:rsidRPr="0010395A" w:rsidTr="00562F9C">
        <w:trPr>
          <w:trHeight w:val="20"/>
        </w:trPr>
        <w:tc>
          <w:tcPr>
            <w:tcW w:w="2876" w:type="pct"/>
            <w:tcBorders>
              <w:top w:val="nil"/>
              <w:left w:val="nil"/>
              <w:bottom w:val="nil"/>
              <w:right w:val="nil"/>
            </w:tcBorders>
            <w:shd w:val="clear" w:color="auto" w:fill="auto"/>
            <w:noWrap/>
            <w:vAlign w:val="bottom"/>
          </w:tcPr>
          <w:p w:rsidR="006D1E99" w:rsidRPr="0010395A" w:rsidRDefault="006D1E99" w:rsidP="00704CC0">
            <w:pPr>
              <w:keepNext/>
              <w:keepLines/>
              <w:tabs>
                <w:tab w:val="left" w:pos="567"/>
                <w:tab w:val="left" w:pos="1134"/>
                <w:tab w:val="left" w:pos="1701"/>
                <w:tab w:val="left" w:pos="2268"/>
              </w:tabs>
              <w:ind w:left="567"/>
              <w:rPr>
                <w:rFonts w:cs="Arial"/>
                <w:sz w:val="18"/>
                <w:szCs w:val="18"/>
              </w:rPr>
            </w:pPr>
            <w:r w:rsidRPr="0010395A">
              <w:rPr>
                <w:rFonts w:cs="Arial"/>
                <w:sz w:val="18"/>
                <w:szCs w:val="18"/>
              </w:rPr>
              <w:t>Loss attributable to ordinary shareholders</w:t>
            </w:r>
          </w:p>
        </w:tc>
        <w:tc>
          <w:tcPr>
            <w:tcW w:w="1000" w:type="pct"/>
            <w:tcBorders>
              <w:top w:val="nil"/>
              <w:left w:val="nil"/>
              <w:bottom w:val="single" w:sz="4" w:space="0" w:color="auto"/>
              <w:right w:val="nil"/>
            </w:tcBorders>
            <w:shd w:val="clear" w:color="auto" w:fill="auto"/>
            <w:noWrap/>
            <w:vAlign w:val="bottom"/>
          </w:tcPr>
          <w:p w:rsidR="006D1E99" w:rsidRPr="0010395A" w:rsidRDefault="004923FF" w:rsidP="00704CC0">
            <w:pPr>
              <w:tabs>
                <w:tab w:val="left" w:pos="567"/>
                <w:tab w:val="left" w:pos="1134"/>
                <w:tab w:val="left" w:pos="1701"/>
                <w:tab w:val="left" w:pos="2268"/>
              </w:tabs>
              <w:jc w:val="right"/>
              <w:rPr>
                <w:rFonts w:cs="Arial"/>
                <w:b/>
                <w:sz w:val="18"/>
                <w:szCs w:val="18"/>
              </w:rPr>
            </w:pPr>
            <w:r w:rsidRPr="0010395A">
              <w:rPr>
                <w:rFonts w:cs="Arial"/>
                <w:sz w:val="18"/>
                <w:szCs w:val="18"/>
              </w:rPr>
              <w:t>£</w:t>
            </w:r>
            <w:r w:rsidR="00210B50" w:rsidRPr="0010395A">
              <w:rPr>
                <w:rFonts w:cs="Arial"/>
                <w:b/>
                <w:sz w:val="18"/>
                <w:szCs w:val="18"/>
              </w:rPr>
              <w:t>(3,858,805)</w:t>
            </w:r>
          </w:p>
        </w:tc>
        <w:tc>
          <w:tcPr>
            <w:tcW w:w="125" w:type="pct"/>
            <w:tcBorders>
              <w:top w:val="nil"/>
              <w:left w:val="nil"/>
              <w:right w:val="nil"/>
            </w:tcBorders>
            <w:shd w:val="clear" w:color="auto" w:fill="auto"/>
            <w:noWrap/>
            <w:vAlign w:val="bottom"/>
          </w:tcPr>
          <w:p w:rsidR="006D1E99" w:rsidRPr="0010395A" w:rsidRDefault="006D1E99" w:rsidP="00704CC0">
            <w:pPr>
              <w:tabs>
                <w:tab w:val="left" w:pos="567"/>
                <w:tab w:val="left" w:pos="1134"/>
                <w:tab w:val="left" w:pos="1701"/>
                <w:tab w:val="left" w:pos="2268"/>
              </w:tabs>
              <w:jc w:val="right"/>
              <w:rPr>
                <w:rFonts w:cs="Arial"/>
                <w:sz w:val="18"/>
                <w:szCs w:val="18"/>
              </w:rPr>
            </w:pPr>
          </w:p>
        </w:tc>
        <w:tc>
          <w:tcPr>
            <w:tcW w:w="1000" w:type="pct"/>
            <w:tcBorders>
              <w:left w:val="nil"/>
              <w:bottom w:val="single" w:sz="4" w:space="0" w:color="auto"/>
              <w:right w:val="nil"/>
            </w:tcBorders>
            <w:vAlign w:val="bottom"/>
          </w:tcPr>
          <w:p w:rsidR="006D1E99" w:rsidRPr="0010395A" w:rsidRDefault="006D1E99" w:rsidP="00704CC0">
            <w:pPr>
              <w:tabs>
                <w:tab w:val="left" w:pos="567"/>
                <w:tab w:val="left" w:pos="1134"/>
                <w:tab w:val="left" w:pos="1701"/>
                <w:tab w:val="left" w:pos="2268"/>
              </w:tabs>
              <w:jc w:val="right"/>
              <w:rPr>
                <w:rFonts w:cs="Arial"/>
                <w:sz w:val="18"/>
                <w:szCs w:val="18"/>
              </w:rPr>
            </w:pPr>
            <w:r w:rsidRPr="0010395A">
              <w:rPr>
                <w:rFonts w:cs="Arial"/>
                <w:sz w:val="18"/>
                <w:szCs w:val="18"/>
              </w:rPr>
              <w:t>£(4,233,476)</w:t>
            </w:r>
          </w:p>
        </w:tc>
      </w:tr>
      <w:tr w:rsidR="006D1E99" w:rsidRPr="0010395A" w:rsidTr="00562F9C">
        <w:trPr>
          <w:trHeight w:val="20"/>
        </w:trPr>
        <w:tc>
          <w:tcPr>
            <w:tcW w:w="2876" w:type="pct"/>
            <w:tcBorders>
              <w:top w:val="nil"/>
              <w:left w:val="nil"/>
              <w:bottom w:val="nil"/>
              <w:right w:val="nil"/>
            </w:tcBorders>
            <w:shd w:val="clear" w:color="auto" w:fill="auto"/>
            <w:noWrap/>
            <w:vAlign w:val="bottom"/>
          </w:tcPr>
          <w:p w:rsidR="006D1E99" w:rsidRPr="0010395A" w:rsidRDefault="006D1E99" w:rsidP="00704CC0">
            <w:pPr>
              <w:keepNext/>
              <w:keepLines/>
              <w:tabs>
                <w:tab w:val="left" w:pos="567"/>
                <w:tab w:val="left" w:pos="1134"/>
                <w:tab w:val="left" w:pos="1701"/>
                <w:tab w:val="left" w:pos="2268"/>
              </w:tabs>
              <w:ind w:left="567"/>
              <w:rPr>
                <w:rFonts w:cs="Arial"/>
                <w:sz w:val="18"/>
                <w:szCs w:val="18"/>
              </w:rPr>
            </w:pPr>
          </w:p>
        </w:tc>
        <w:tc>
          <w:tcPr>
            <w:tcW w:w="1000" w:type="pct"/>
            <w:tcBorders>
              <w:top w:val="single" w:sz="4" w:space="0" w:color="auto"/>
              <w:left w:val="nil"/>
              <w:right w:val="nil"/>
            </w:tcBorders>
            <w:shd w:val="clear" w:color="auto" w:fill="auto"/>
            <w:noWrap/>
            <w:vAlign w:val="bottom"/>
          </w:tcPr>
          <w:p w:rsidR="006D1E99" w:rsidRPr="0010395A" w:rsidRDefault="006D1E99" w:rsidP="00704CC0">
            <w:pPr>
              <w:tabs>
                <w:tab w:val="left" w:pos="567"/>
                <w:tab w:val="left" w:pos="1134"/>
                <w:tab w:val="left" w:pos="1701"/>
                <w:tab w:val="left" w:pos="2268"/>
              </w:tabs>
              <w:jc w:val="right"/>
              <w:rPr>
                <w:rFonts w:cs="Arial"/>
                <w:b/>
                <w:sz w:val="18"/>
                <w:szCs w:val="18"/>
              </w:rPr>
            </w:pPr>
          </w:p>
        </w:tc>
        <w:tc>
          <w:tcPr>
            <w:tcW w:w="125" w:type="pct"/>
            <w:tcBorders>
              <w:left w:val="nil"/>
              <w:right w:val="nil"/>
            </w:tcBorders>
            <w:shd w:val="clear" w:color="auto" w:fill="auto"/>
            <w:noWrap/>
            <w:vAlign w:val="bottom"/>
          </w:tcPr>
          <w:p w:rsidR="006D1E99" w:rsidRPr="0010395A" w:rsidRDefault="006D1E99" w:rsidP="00704CC0">
            <w:pPr>
              <w:tabs>
                <w:tab w:val="left" w:pos="567"/>
                <w:tab w:val="left" w:pos="1134"/>
                <w:tab w:val="left" w:pos="1701"/>
                <w:tab w:val="left" w:pos="2268"/>
              </w:tabs>
              <w:jc w:val="right"/>
              <w:rPr>
                <w:rFonts w:cs="Arial"/>
                <w:sz w:val="18"/>
                <w:szCs w:val="18"/>
              </w:rPr>
            </w:pPr>
          </w:p>
        </w:tc>
        <w:tc>
          <w:tcPr>
            <w:tcW w:w="1000" w:type="pct"/>
            <w:tcBorders>
              <w:top w:val="single" w:sz="4" w:space="0" w:color="auto"/>
              <w:left w:val="nil"/>
              <w:right w:val="nil"/>
            </w:tcBorders>
            <w:vAlign w:val="bottom"/>
          </w:tcPr>
          <w:p w:rsidR="006D1E99" w:rsidRPr="0010395A" w:rsidRDefault="006D1E99" w:rsidP="00704CC0">
            <w:pPr>
              <w:tabs>
                <w:tab w:val="left" w:pos="567"/>
                <w:tab w:val="left" w:pos="1134"/>
                <w:tab w:val="left" w:pos="1701"/>
                <w:tab w:val="left" w:pos="2268"/>
              </w:tabs>
              <w:jc w:val="right"/>
              <w:rPr>
                <w:rFonts w:cs="Arial"/>
                <w:sz w:val="18"/>
                <w:szCs w:val="18"/>
              </w:rPr>
            </w:pPr>
          </w:p>
        </w:tc>
      </w:tr>
      <w:tr w:rsidR="006D1E99" w:rsidRPr="0010395A" w:rsidTr="00562F9C">
        <w:trPr>
          <w:trHeight w:val="20"/>
        </w:trPr>
        <w:tc>
          <w:tcPr>
            <w:tcW w:w="2876" w:type="pct"/>
            <w:tcBorders>
              <w:top w:val="nil"/>
              <w:left w:val="nil"/>
              <w:bottom w:val="nil"/>
              <w:right w:val="nil"/>
            </w:tcBorders>
            <w:shd w:val="clear" w:color="auto" w:fill="auto"/>
            <w:noWrap/>
            <w:vAlign w:val="bottom"/>
          </w:tcPr>
          <w:p w:rsidR="006D1E99" w:rsidRPr="0010395A" w:rsidRDefault="006D1E99" w:rsidP="00704CC0">
            <w:pPr>
              <w:keepNext/>
              <w:keepLines/>
              <w:tabs>
                <w:tab w:val="left" w:pos="567"/>
                <w:tab w:val="left" w:pos="1134"/>
                <w:tab w:val="left" w:pos="1701"/>
                <w:tab w:val="left" w:pos="2268"/>
              </w:tabs>
              <w:ind w:left="567"/>
              <w:rPr>
                <w:rFonts w:cs="Arial"/>
                <w:sz w:val="18"/>
                <w:szCs w:val="18"/>
              </w:rPr>
            </w:pPr>
            <w:r w:rsidRPr="0010395A">
              <w:rPr>
                <w:rFonts w:cs="Arial"/>
                <w:sz w:val="18"/>
                <w:szCs w:val="18"/>
              </w:rPr>
              <w:t>Issued ordinary shares-beginning of year</w:t>
            </w:r>
          </w:p>
        </w:tc>
        <w:tc>
          <w:tcPr>
            <w:tcW w:w="1000" w:type="pct"/>
            <w:tcBorders>
              <w:left w:val="nil"/>
              <w:right w:val="nil"/>
            </w:tcBorders>
            <w:shd w:val="clear" w:color="auto" w:fill="auto"/>
            <w:noWrap/>
            <w:vAlign w:val="bottom"/>
          </w:tcPr>
          <w:p w:rsidR="006D1E99" w:rsidRPr="0010395A" w:rsidRDefault="00210B50" w:rsidP="00704CC0">
            <w:pPr>
              <w:tabs>
                <w:tab w:val="left" w:pos="567"/>
                <w:tab w:val="left" w:pos="1134"/>
                <w:tab w:val="left" w:pos="1701"/>
                <w:tab w:val="left" w:pos="2268"/>
              </w:tabs>
              <w:jc w:val="right"/>
              <w:rPr>
                <w:rFonts w:cs="Arial"/>
                <w:b/>
                <w:sz w:val="18"/>
                <w:szCs w:val="18"/>
              </w:rPr>
            </w:pPr>
            <w:r w:rsidRPr="0010395A">
              <w:rPr>
                <w:rFonts w:cs="Arial"/>
                <w:b/>
                <w:sz w:val="18"/>
                <w:szCs w:val="18"/>
              </w:rPr>
              <w:t>47,739,411</w:t>
            </w:r>
          </w:p>
        </w:tc>
        <w:tc>
          <w:tcPr>
            <w:tcW w:w="125" w:type="pct"/>
            <w:tcBorders>
              <w:left w:val="nil"/>
              <w:right w:val="nil"/>
            </w:tcBorders>
            <w:shd w:val="clear" w:color="auto" w:fill="auto"/>
            <w:noWrap/>
            <w:vAlign w:val="bottom"/>
          </w:tcPr>
          <w:p w:rsidR="006D1E99" w:rsidRPr="0010395A" w:rsidRDefault="006D1E99" w:rsidP="00704CC0">
            <w:pPr>
              <w:tabs>
                <w:tab w:val="left" w:pos="567"/>
                <w:tab w:val="left" w:pos="1134"/>
                <w:tab w:val="left" w:pos="1701"/>
                <w:tab w:val="left" w:pos="2268"/>
              </w:tabs>
              <w:jc w:val="right"/>
              <w:rPr>
                <w:rFonts w:cs="Arial"/>
                <w:sz w:val="18"/>
                <w:szCs w:val="18"/>
              </w:rPr>
            </w:pPr>
          </w:p>
        </w:tc>
        <w:tc>
          <w:tcPr>
            <w:tcW w:w="1000" w:type="pct"/>
            <w:tcBorders>
              <w:left w:val="nil"/>
              <w:right w:val="nil"/>
            </w:tcBorders>
            <w:vAlign w:val="bottom"/>
          </w:tcPr>
          <w:p w:rsidR="006D1E99" w:rsidRPr="0010395A" w:rsidRDefault="006D1E99" w:rsidP="00704CC0">
            <w:pPr>
              <w:tabs>
                <w:tab w:val="left" w:pos="567"/>
                <w:tab w:val="left" w:pos="1134"/>
                <w:tab w:val="left" w:pos="1701"/>
                <w:tab w:val="left" w:pos="2268"/>
              </w:tabs>
              <w:jc w:val="right"/>
              <w:rPr>
                <w:rFonts w:cs="Arial"/>
                <w:sz w:val="18"/>
                <w:szCs w:val="18"/>
              </w:rPr>
            </w:pPr>
            <w:r w:rsidRPr="0010395A">
              <w:rPr>
                <w:rFonts w:cs="Arial"/>
                <w:sz w:val="18"/>
                <w:szCs w:val="18"/>
              </w:rPr>
              <w:t>48,400,411</w:t>
            </w:r>
          </w:p>
        </w:tc>
      </w:tr>
      <w:tr w:rsidR="006D1E99" w:rsidRPr="0010395A" w:rsidTr="00562F9C">
        <w:trPr>
          <w:trHeight w:val="20"/>
        </w:trPr>
        <w:tc>
          <w:tcPr>
            <w:tcW w:w="2876" w:type="pct"/>
            <w:tcBorders>
              <w:top w:val="nil"/>
              <w:left w:val="nil"/>
              <w:bottom w:val="nil"/>
              <w:right w:val="nil"/>
            </w:tcBorders>
            <w:shd w:val="clear" w:color="auto" w:fill="auto"/>
            <w:noWrap/>
            <w:vAlign w:val="bottom"/>
          </w:tcPr>
          <w:p w:rsidR="006D1E99" w:rsidRPr="0010395A" w:rsidRDefault="006D1E99" w:rsidP="00704CC0">
            <w:pPr>
              <w:keepNext/>
              <w:keepLines/>
              <w:tabs>
                <w:tab w:val="left" w:pos="567"/>
                <w:tab w:val="left" w:pos="1134"/>
                <w:tab w:val="left" w:pos="1701"/>
                <w:tab w:val="left" w:pos="2268"/>
              </w:tabs>
              <w:ind w:left="567"/>
              <w:rPr>
                <w:rFonts w:cs="Arial"/>
                <w:sz w:val="18"/>
                <w:szCs w:val="18"/>
              </w:rPr>
            </w:pPr>
            <w:r w:rsidRPr="0010395A">
              <w:rPr>
                <w:rFonts w:cs="Arial"/>
                <w:sz w:val="18"/>
                <w:szCs w:val="18"/>
              </w:rPr>
              <w:t xml:space="preserve">Buy-back of shares                                          </w:t>
            </w:r>
          </w:p>
        </w:tc>
        <w:tc>
          <w:tcPr>
            <w:tcW w:w="1000" w:type="pct"/>
            <w:tcBorders>
              <w:left w:val="nil"/>
              <w:bottom w:val="single" w:sz="4" w:space="0" w:color="auto"/>
              <w:right w:val="nil"/>
            </w:tcBorders>
            <w:shd w:val="clear" w:color="auto" w:fill="auto"/>
            <w:noWrap/>
            <w:vAlign w:val="bottom"/>
          </w:tcPr>
          <w:p w:rsidR="006D1E99" w:rsidRPr="0010395A" w:rsidRDefault="00210B50" w:rsidP="00704CC0">
            <w:pPr>
              <w:tabs>
                <w:tab w:val="left" w:pos="567"/>
                <w:tab w:val="left" w:pos="1134"/>
                <w:tab w:val="left" w:pos="1701"/>
                <w:tab w:val="left" w:pos="2268"/>
              </w:tabs>
              <w:jc w:val="right"/>
              <w:rPr>
                <w:rFonts w:cs="Arial"/>
                <w:b/>
                <w:sz w:val="18"/>
                <w:szCs w:val="18"/>
              </w:rPr>
            </w:pPr>
            <w:r w:rsidRPr="0010395A">
              <w:rPr>
                <w:rFonts w:cs="Arial"/>
                <w:b/>
                <w:sz w:val="18"/>
                <w:szCs w:val="18"/>
              </w:rPr>
              <w:t>(23,076,900)</w:t>
            </w:r>
          </w:p>
        </w:tc>
        <w:tc>
          <w:tcPr>
            <w:tcW w:w="125" w:type="pct"/>
            <w:tcBorders>
              <w:left w:val="nil"/>
              <w:right w:val="nil"/>
            </w:tcBorders>
            <w:shd w:val="clear" w:color="auto" w:fill="auto"/>
            <w:noWrap/>
            <w:vAlign w:val="bottom"/>
          </w:tcPr>
          <w:p w:rsidR="006D1E99" w:rsidRPr="0010395A" w:rsidRDefault="006D1E99" w:rsidP="00704CC0">
            <w:pPr>
              <w:tabs>
                <w:tab w:val="left" w:pos="567"/>
                <w:tab w:val="left" w:pos="1134"/>
                <w:tab w:val="left" w:pos="1701"/>
                <w:tab w:val="left" w:pos="2268"/>
              </w:tabs>
              <w:jc w:val="right"/>
              <w:rPr>
                <w:rFonts w:cs="Arial"/>
                <w:sz w:val="18"/>
                <w:szCs w:val="18"/>
              </w:rPr>
            </w:pPr>
          </w:p>
        </w:tc>
        <w:tc>
          <w:tcPr>
            <w:tcW w:w="1000" w:type="pct"/>
            <w:tcBorders>
              <w:left w:val="nil"/>
              <w:bottom w:val="single" w:sz="4" w:space="0" w:color="auto"/>
              <w:right w:val="nil"/>
            </w:tcBorders>
            <w:vAlign w:val="bottom"/>
          </w:tcPr>
          <w:p w:rsidR="006D1E99" w:rsidRPr="0010395A" w:rsidRDefault="006D1E99" w:rsidP="00704CC0">
            <w:pPr>
              <w:tabs>
                <w:tab w:val="left" w:pos="567"/>
                <w:tab w:val="left" w:pos="1134"/>
                <w:tab w:val="left" w:pos="1701"/>
                <w:tab w:val="left" w:pos="2268"/>
              </w:tabs>
              <w:jc w:val="right"/>
              <w:rPr>
                <w:rFonts w:cs="Arial"/>
                <w:sz w:val="18"/>
                <w:szCs w:val="18"/>
              </w:rPr>
            </w:pPr>
            <w:r w:rsidRPr="0010395A">
              <w:rPr>
                <w:rFonts w:cs="Arial"/>
                <w:sz w:val="18"/>
                <w:szCs w:val="18"/>
              </w:rPr>
              <w:t>(661,000)</w:t>
            </w:r>
          </w:p>
        </w:tc>
      </w:tr>
      <w:tr w:rsidR="006D1E99" w:rsidRPr="0010395A" w:rsidTr="00562F9C">
        <w:trPr>
          <w:trHeight w:val="20"/>
        </w:trPr>
        <w:tc>
          <w:tcPr>
            <w:tcW w:w="2876" w:type="pct"/>
            <w:tcBorders>
              <w:top w:val="nil"/>
              <w:left w:val="nil"/>
              <w:bottom w:val="nil"/>
              <w:right w:val="nil"/>
            </w:tcBorders>
            <w:shd w:val="clear" w:color="auto" w:fill="auto"/>
            <w:noWrap/>
            <w:vAlign w:val="bottom"/>
          </w:tcPr>
          <w:p w:rsidR="006D1E99" w:rsidRPr="0010395A" w:rsidRDefault="006D1E99" w:rsidP="00704CC0">
            <w:pPr>
              <w:keepNext/>
              <w:keepLines/>
              <w:tabs>
                <w:tab w:val="left" w:pos="567"/>
                <w:tab w:val="left" w:pos="1134"/>
                <w:tab w:val="left" w:pos="1701"/>
                <w:tab w:val="left" w:pos="2268"/>
              </w:tabs>
              <w:ind w:left="567"/>
              <w:rPr>
                <w:rFonts w:cs="Arial"/>
                <w:sz w:val="18"/>
                <w:szCs w:val="18"/>
              </w:rPr>
            </w:pPr>
            <w:r w:rsidRPr="0010395A">
              <w:rPr>
                <w:rFonts w:cs="Arial"/>
                <w:sz w:val="18"/>
                <w:szCs w:val="18"/>
              </w:rPr>
              <w:t>Issued ordinary shares outstanding at the end of the year</w:t>
            </w:r>
          </w:p>
        </w:tc>
        <w:tc>
          <w:tcPr>
            <w:tcW w:w="1000" w:type="pct"/>
            <w:tcBorders>
              <w:top w:val="single" w:sz="4" w:space="0" w:color="auto"/>
              <w:left w:val="nil"/>
              <w:bottom w:val="single" w:sz="4" w:space="0" w:color="auto"/>
              <w:right w:val="nil"/>
            </w:tcBorders>
            <w:shd w:val="clear" w:color="auto" w:fill="auto"/>
            <w:noWrap/>
            <w:vAlign w:val="bottom"/>
          </w:tcPr>
          <w:p w:rsidR="006D1E99" w:rsidRPr="0010395A" w:rsidRDefault="00210B50" w:rsidP="00704CC0">
            <w:pPr>
              <w:tabs>
                <w:tab w:val="left" w:pos="567"/>
                <w:tab w:val="left" w:pos="1134"/>
                <w:tab w:val="left" w:pos="1701"/>
                <w:tab w:val="left" w:pos="2268"/>
              </w:tabs>
              <w:jc w:val="right"/>
              <w:rPr>
                <w:rFonts w:cs="Arial"/>
                <w:b/>
                <w:sz w:val="18"/>
                <w:szCs w:val="18"/>
              </w:rPr>
            </w:pPr>
            <w:r w:rsidRPr="0010395A">
              <w:rPr>
                <w:rFonts w:cs="Arial"/>
                <w:b/>
                <w:sz w:val="18"/>
                <w:szCs w:val="18"/>
              </w:rPr>
              <w:t>24,662,511</w:t>
            </w:r>
          </w:p>
        </w:tc>
        <w:tc>
          <w:tcPr>
            <w:tcW w:w="125" w:type="pct"/>
            <w:tcBorders>
              <w:left w:val="nil"/>
              <w:right w:val="nil"/>
            </w:tcBorders>
            <w:shd w:val="clear" w:color="auto" w:fill="auto"/>
            <w:noWrap/>
            <w:vAlign w:val="bottom"/>
          </w:tcPr>
          <w:p w:rsidR="006D1E99" w:rsidRPr="0010395A" w:rsidRDefault="006D1E99" w:rsidP="00704CC0">
            <w:pPr>
              <w:tabs>
                <w:tab w:val="left" w:pos="567"/>
                <w:tab w:val="left" w:pos="1134"/>
                <w:tab w:val="left" w:pos="1701"/>
                <w:tab w:val="left" w:pos="2268"/>
              </w:tabs>
              <w:jc w:val="right"/>
              <w:rPr>
                <w:rFonts w:cs="Arial"/>
                <w:sz w:val="18"/>
                <w:szCs w:val="18"/>
              </w:rPr>
            </w:pPr>
          </w:p>
        </w:tc>
        <w:tc>
          <w:tcPr>
            <w:tcW w:w="1000" w:type="pct"/>
            <w:tcBorders>
              <w:top w:val="single" w:sz="4" w:space="0" w:color="auto"/>
              <w:left w:val="nil"/>
              <w:bottom w:val="single" w:sz="4" w:space="0" w:color="auto"/>
              <w:right w:val="nil"/>
            </w:tcBorders>
            <w:vAlign w:val="bottom"/>
          </w:tcPr>
          <w:p w:rsidR="006D1E99" w:rsidRPr="0010395A" w:rsidRDefault="006D1E99" w:rsidP="00704CC0">
            <w:pPr>
              <w:tabs>
                <w:tab w:val="left" w:pos="567"/>
                <w:tab w:val="left" w:pos="1134"/>
                <w:tab w:val="left" w:pos="1701"/>
                <w:tab w:val="left" w:pos="2268"/>
              </w:tabs>
              <w:jc w:val="right"/>
              <w:rPr>
                <w:rFonts w:cs="Arial"/>
                <w:sz w:val="18"/>
                <w:szCs w:val="18"/>
              </w:rPr>
            </w:pPr>
            <w:r w:rsidRPr="0010395A">
              <w:rPr>
                <w:rFonts w:cs="Arial"/>
                <w:sz w:val="18"/>
                <w:szCs w:val="18"/>
              </w:rPr>
              <w:t>47,739,411</w:t>
            </w:r>
          </w:p>
        </w:tc>
      </w:tr>
      <w:tr w:rsidR="006D1E99" w:rsidRPr="0010395A" w:rsidTr="00562F9C">
        <w:trPr>
          <w:trHeight w:val="20"/>
        </w:trPr>
        <w:tc>
          <w:tcPr>
            <w:tcW w:w="2876" w:type="pct"/>
            <w:tcBorders>
              <w:top w:val="nil"/>
              <w:left w:val="nil"/>
              <w:bottom w:val="nil"/>
              <w:right w:val="nil"/>
            </w:tcBorders>
            <w:shd w:val="clear" w:color="auto" w:fill="auto"/>
            <w:noWrap/>
            <w:vAlign w:val="bottom"/>
          </w:tcPr>
          <w:p w:rsidR="006D1E99" w:rsidRPr="0010395A" w:rsidRDefault="006D1E99" w:rsidP="00704CC0">
            <w:pPr>
              <w:keepNext/>
              <w:keepLines/>
              <w:tabs>
                <w:tab w:val="left" w:pos="567"/>
                <w:tab w:val="left" w:pos="1134"/>
                <w:tab w:val="left" w:pos="1701"/>
                <w:tab w:val="left" w:pos="2268"/>
              </w:tabs>
              <w:ind w:left="567"/>
              <w:rPr>
                <w:rFonts w:cs="Arial"/>
                <w:sz w:val="18"/>
                <w:szCs w:val="18"/>
              </w:rPr>
            </w:pPr>
          </w:p>
        </w:tc>
        <w:tc>
          <w:tcPr>
            <w:tcW w:w="1000" w:type="pct"/>
            <w:tcBorders>
              <w:top w:val="single" w:sz="4" w:space="0" w:color="auto"/>
              <w:left w:val="nil"/>
              <w:right w:val="nil"/>
            </w:tcBorders>
            <w:shd w:val="clear" w:color="auto" w:fill="auto"/>
            <w:noWrap/>
            <w:vAlign w:val="bottom"/>
          </w:tcPr>
          <w:p w:rsidR="006D1E99" w:rsidRPr="0010395A" w:rsidRDefault="006D1E99" w:rsidP="00704CC0">
            <w:pPr>
              <w:tabs>
                <w:tab w:val="left" w:pos="567"/>
                <w:tab w:val="left" w:pos="1134"/>
                <w:tab w:val="left" w:pos="1701"/>
                <w:tab w:val="left" w:pos="2268"/>
              </w:tabs>
              <w:jc w:val="right"/>
              <w:rPr>
                <w:rFonts w:cs="Arial"/>
                <w:b/>
                <w:sz w:val="18"/>
                <w:szCs w:val="18"/>
              </w:rPr>
            </w:pPr>
          </w:p>
        </w:tc>
        <w:tc>
          <w:tcPr>
            <w:tcW w:w="125" w:type="pct"/>
            <w:tcBorders>
              <w:left w:val="nil"/>
              <w:right w:val="nil"/>
            </w:tcBorders>
            <w:shd w:val="clear" w:color="auto" w:fill="auto"/>
            <w:noWrap/>
            <w:vAlign w:val="bottom"/>
          </w:tcPr>
          <w:p w:rsidR="006D1E99" w:rsidRPr="0010395A" w:rsidRDefault="006D1E99" w:rsidP="00704CC0">
            <w:pPr>
              <w:tabs>
                <w:tab w:val="left" w:pos="567"/>
                <w:tab w:val="left" w:pos="1134"/>
                <w:tab w:val="left" w:pos="1701"/>
                <w:tab w:val="left" w:pos="2268"/>
              </w:tabs>
              <w:jc w:val="right"/>
              <w:rPr>
                <w:rFonts w:cs="Arial"/>
                <w:sz w:val="18"/>
                <w:szCs w:val="18"/>
              </w:rPr>
            </w:pPr>
          </w:p>
        </w:tc>
        <w:tc>
          <w:tcPr>
            <w:tcW w:w="1000" w:type="pct"/>
            <w:tcBorders>
              <w:top w:val="single" w:sz="4" w:space="0" w:color="auto"/>
              <w:left w:val="nil"/>
              <w:right w:val="nil"/>
            </w:tcBorders>
            <w:vAlign w:val="bottom"/>
          </w:tcPr>
          <w:p w:rsidR="006D1E99" w:rsidRPr="0010395A" w:rsidRDefault="006D1E99" w:rsidP="00704CC0">
            <w:pPr>
              <w:tabs>
                <w:tab w:val="left" w:pos="567"/>
                <w:tab w:val="left" w:pos="1134"/>
                <w:tab w:val="left" w:pos="1701"/>
                <w:tab w:val="left" w:pos="2268"/>
              </w:tabs>
              <w:jc w:val="right"/>
              <w:rPr>
                <w:rFonts w:cs="Arial"/>
                <w:sz w:val="18"/>
                <w:szCs w:val="18"/>
              </w:rPr>
            </w:pPr>
          </w:p>
        </w:tc>
      </w:tr>
      <w:tr w:rsidR="006D1E99" w:rsidRPr="0010395A" w:rsidTr="00562F9C">
        <w:trPr>
          <w:trHeight w:val="20"/>
        </w:trPr>
        <w:tc>
          <w:tcPr>
            <w:tcW w:w="2876" w:type="pct"/>
            <w:tcBorders>
              <w:top w:val="nil"/>
              <w:left w:val="nil"/>
              <w:bottom w:val="nil"/>
              <w:right w:val="nil"/>
            </w:tcBorders>
            <w:shd w:val="clear" w:color="auto" w:fill="auto"/>
            <w:noWrap/>
            <w:vAlign w:val="bottom"/>
          </w:tcPr>
          <w:p w:rsidR="006D1E99" w:rsidRPr="0010395A" w:rsidRDefault="006D1E99" w:rsidP="00704CC0">
            <w:pPr>
              <w:keepNext/>
              <w:keepLines/>
              <w:tabs>
                <w:tab w:val="left" w:pos="567"/>
                <w:tab w:val="left" w:pos="1134"/>
                <w:tab w:val="left" w:pos="1701"/>
                <w:tab w:val="left" w:pos="2268"/>
              </w:tabs>
              <w:ind w:left="567"/>
              <w:rPr>
                <w:rFonts w:cs="Arial"/>
                <w:sz w:val="18"/>
                <w:szCs w:val="18"/>
              </w:rPr>
            </w:pPr>
            <w:r w:rsidRPr="0010395A">
              <w:rPr>
                <w:rFonts w:cs="Arial"/>
                <w:sz w:val="18"/>
                <w:szCs w:val="18"/>
              </w:rPr>
              <w:t>Weighted average number of shares outstanding</w:t>
            </w:r>
          </w:p>
        </w:tc>
        <w:tc>
          <w:tcPr>
            <w:tcW w:w="1000" w:type="pct"/>
            <w:tcBorders>
              <w:left w:val="nil"/>
              <w:right w:val="nil"/>
            </w:tcBorders>
            <w:shd w:val="clear" w:color="auto" w:fill="auto"/>
            <w:noWrap/>
            <w:vAlign w:val="bottom"/>
          </w:tcPr>
          <w:p w:rsidR="006D1E99" w:rsidRPr="0010395A" w:rsidRDefault="00210B50" w:rsidP="00704CC0">
            <w:pPr>
              <w:tabs>
                <w:tab w:val="left" w:pos="567"/>
                <w:tab w:val="left" w:pos="1134"/>
                <w:tab w:val="left" w:pos="1701"/>
                <w:tab w:val="left" w:pos="2268"/>
              </w:tabs>
              <w:jc w:val="right"/>
              <w:rPr>
                <w:rFonts w:cs="Arial"/>
                <w:b/>
                <w:sz w:val="18"/>
                <w:szCs w:val="18"/>
              </w:rPr>
            </w:pPr>
            <w:r w:rsidRPr="0010395A">
              <w:rPr>
                <w:rFonts w:cs="Arial"/>
                <w:b/>
                <w:sz w:val="18"/>
                <w:szCs w:val="18"/>
              </w:rPr>
              <w:t>38,255,753</w:t>
            </w:r>
          </w:p>
        </w:tc>
        <w:tc>
          <w:tcPr>
            <w:tcW w:w="125" w:type="pct"/>
            <w:tcBorders>
              <w:left w:val="nil"/>
              <w:right w:val="nil"/>
            </w:tcBorders>
            <w:shd w:val="clear" w:color="auto" w:fill="auto"/>
            <w:noWrap/>
            <w:vAlign w:val="bottom"/>
          </w:tcPr>
          <w:p w:rsidR="006D1E99" w:rsidRPr="0010395A" w:rsidRDefault="006D1E99" w:rsidP="00704CC0">
            <w:pPr>
              <w:tabs>
                <w:tab w:val="left" w:pos="567"/>
                <w:tab w:val="left" w:pos="1134"/>
                <w:tab w:val="left" w:pos="1701"/>
                <w:tab w:val="left" w:pos="2268"/>
              </w:tabs>
              <w:jc w:val="right"/>
              <w:rPr>
                <w:rFonts w:cs="Arial"/>
                <w:sz w:val="18"/>
                <w:szCs w:val="18"/>
              </w:rPr>
            </w:pPr>
          </w:p>
        </w:tc>
        <w:tc>
          <w:tcPr>
            <w:tcW w:w="1000" w:type="pct"/>
            <w:tcBorders>
              <w:left w:val="nil"/>
              <w:right w:val="nil"/>
            </w:tcBorders>
            <w:vAlign w:val="bottom"/>
          </w:tcPr>
          <w:p w:rsidR="006D1E99" w:rsidRPr="0010395A" w:rsidRDefault="006D1E99" w:rsidP="00704CC0">
            <w:pPr>
              <w:tabs>
                <w:tab w:val="left" w:pos="567"/>
                <w:tab w:val="left" w:pos="1134"/>
                <w:tab w:val="left" w:pos="1701"/>
                <w:tab w:val="left" w:pos="2268"/>
              </w:tabs>
              <w:jc w:val="right"/>
              <w:rPr>
                <w:rFonts w:cs="Arial"/>
                <w:sz w:val="18"/>
                <w:szCs w:val="18"/>
              </w:rPr>
            </w:pPr>
            <w:r w:rsidRPr="0010395A">
              <w:rPr>
                <w:rFonts w:cs="Arial"/>
                <w:sz w:val="18"/>
                <w:szCs w:val="18"/>
              </w:rPr>
              <w:t>47,764,695</w:t>
            </w:r>
          </w:p>
        </w:tc>
      </w:tr>
      <w:tr w:rsidR="006D1E99" w:rsidRPr="0010395A" w:rsidTr="00562F9C">
        <w:trPr>
          <w:trHeight w:val="20"/>
        </w:trPr>
        <w:tc>
          <w:tcPr>
            <w:tcW w:w="2876" w:type="pct"/>
            <w:tcBorders>
              <w:top w:val="nil"/>
              <w:left w:val="nil"/>
              <w:bottom w:val="nil"/>
              <w:right w:val="nil"/>
            </w:tcBorders>
            <w:shd w:val="clear" w:color="auto" w:fill="auto"/>
            <w:noWrap/>
            <w:vAlign w:val="bottom"/>
          </w:tcPr>
          <w:p w:rsidR="006D1E99" w:rsidRPr="0010395A" w:rsidRDefault="006D1E99" w:rsidP="00704CC0">
            <w:pPr>
              <w:keepNext/>
              <w:keepLines/>
              <w:tabs>
                <w:tab w:val="left" w:pos="567"/>
                <w:tab w:val="left" w:pos="1134"/>
                <w:tab w:val="left" w:pos="1701"/>
                <w:tab w:val="left" w:pos="2268"/>
              </w:tabs>
              <w:ind w:left="567"/>
              <w:rPr>
                <w:rFonts w:cs="Arial"/>
                <w:sz w:val="18"/>
                <w:szCs w:val="18"/>
              </w:rPr>
            </w:pPr>
          </w:p>
        </w:tc>
        <w:tc>
          <w:tcPr>
            <w:tcW w:w="1000" w:type="pct"/>
            <w:tcBorders>
              <w:left w:val="nil"/>
              <w:right w:val="nil"/>
            </w:tcBorders>
            <w:shd w:val="clear" w:color="auto" w:fill="auto"/>
            <w:noWrap/>
            <w:vAlign w:val="bottom"/>
          </w:tcPr>
          <w:p w:rsidR="006D1E99" w:rsidRPr="0010395A" w:rsidRDefault="006D1E99" w:rsidP="00704CC0">
            <w:pPr>
              <w:tabs>
                <w:tab w:val="left" w:pos="567"/>
                <w:tab w:val="left" w:pos="1134"/>
                <w:tab w:val="left" w:pos="1701"/>
                <w:tab w:val="left" w:pos="2268"/>
              </w:tabs>
              <w:jc w:val="right"/>
              <w:rPr>
                <w:rFonts w:cs="Arial"/>
                <w:b/>
                <w:sz w:val="18"/>
                <w:szCs w:val="18"/>
              </w:rPr>
            </w:pPr>
          </w:p>
        </w:tc>
        <w:tc>
          <w:tcPr>
            <w:tcW w:w="125" w:type="pct"/>
            <w:tcBorders>
              <w:left w:val="nil"/>
              <w:right w:val="nil"/>
            </w:tcBorders>
            <w:shd w:val="clear" w:color="auto" w:fill="auto"/>
            <w:noWrap/>
            <w:vAlign w:val="bottom"/>
          </w:tcPr>
          <w:p w:rsidR="006D1E99" w:rsidRPr="0010395A" w:rsidRDefault="006D1E99" w:rsidP="00704CC0">
            <w:pPr>
              <w:tabs>
                <w:tab w:val="left" w:pos="567"/>
                <w:tab w:val="left" w:pos="1134"/>
                <w:tab w:val="left" w:pos="1701"/>
                <w:tab w:val="left" w:pos="2268"/>
              </w:tabs>
              <w:jc w:val="right"/>
              <w:rPr>
                <w:rFonts w:cs="Arial"/>
                <w:sz w:val="18"/>
                <w:szCs w:val="18"/>
              </w:rPr>
            </w:pPr>
          </w:p>
        </w:tc>
        <w:tc>
          <w:tcPr>
            <w:tcW w:w="1000" w:type="pct"/>
            <w:tcBorders>
              <w:left w:val="nil"/>
              <w:right w:val="nil"/>
            </w:tcBorders>
            <w:vAlign w:val="bottom"/>
          </w:tcPr>
          <w:p w:rsidR="006D1E99" w:rsidRPr="0010395A" w:rsidRDefault="006D1E99" w:rsidP="00704CC0">
            <w:pPr>
              <w:tabs>
                <w:tab w:val="left" w:pos="567"/>
                <w:tab w:val="left" w:pos="1134"/>
                <w:tab w:val="left" w:pos="1701"/>
                <w:tab w:val="left" w:pos="2268"/>
              </w:tabs>
              <w:jc w:val="right"/>
              <w:rPr>
                <w:rFonts w:cs="Arial"/>
                <w:sz w:val="18"/>
                <w:szCs w:val="18"/>
              </w:rPr>
            </w:pPr>
          </w:p>
        </w:tc>
      </w:tr>
      <w:tr w:rsidR="006D1E99" w:rsidRPr="0010395A" w:rsidTr="00562F9C">
        <w:trPr>
          <w:trHeight w:val="20"/>
        </w:trPr>
        <w:tc>
          <w:tcPr>
            <w:tcW w:w="2876" w:type="pct"/>
            <w:tcBorders>
              <w:top w:val="nil"/>
              <w:left w:val="nil"/>
              <w:bottom w:val="nil"/>
              <w:right w:val="nil"/>
            </w:tcBorders>
            <w:shd w:val="clear" w:color="auto" w:fill="auto"/>
            <w:noWrap/>
            <w:vAlign w:val="bottom"/>
          </w:tcPr>
          <w:p w:rsidR="006D1E99" w:rsidRPr="0010395A" w:rsidRDefault="006D1E99" w:rsidP="00704CC0">
            <w:pPr>
              <w:keepNext/>
              <w:keepLines/>
              <w:tabs>
                <w:tab w:val="left" w:pos="567"/>
                <w:tab w:val="left" w:pos="1134"/>
                <w:tab w:val="left" w:pos="1701"/>
                <w:tab w:val="left" w:pos="2268"/>
              </w:tabs>
              <w:ind w:left="567"/>
              <w:rPr>
                <w:rFonts w:cs="Arial"/>
                <w:sz w:val="18"/>
                <w:szCs w:val="18"/>
              </w:rPr>
            </w:pPr>
            <w:r w:rsidRPr="0010395A">
              <w:rPr>
                <w:rFonts w:cs="Arial"/>
                <w:sz w:val="18"/>
                <w:szCs w:val="18"/>
              </w:rPr>
              <w:t>Loss per share (basic and diluted)</w:t>
            </w:r>
          </w:p>
        </w:tc>
        <w:tc>
          <w:tcPr>
            <w:tcW w:w="1000" w:type="pct"/>
            <w:tcBorders>
              <w:left w:val="nil"/>
              <w:bottom w:val="nil"/>
              <w:right w:val="nil"/>
            </w:tcBorders>
            <w:shd w:val="clear" w:color="auto" w:fill="auto"/>
            <w:noWrap/>
          </w:tcPr>
          <w:p w:rsidR="006D1E99" w:rsidRPr="0010395A" w:rsidRDefault="00210B50" w:rsidP="00704CC0">
            <w:pPr>
              <w:tabs>
                <w:tab w:val="left" w:pos="567"/>
                <w:tab w:val="left" w:pos="1134"/>
                <w:tab w:val="left" w:pos="1701"/>
                <w:tab w:val="left" w:pos="2268"/>
              </w:tabs>
              <w:jc w:val="right"/>
              <w:rPr>
                <w:rFonts w:cs="Arial"/>
                <w:b/>
                <w:sz w:val="18"/>
                <w:szCs w:val="18"/>
              </w:rPr>
            </w:pPr>
            <w:r w:rsidRPr="0010395A">
              <w:rPr>
                <w:rFonts w:cs="Arial"/>
                <w:b/>
                <w:sz w:val="18"/>
                <w:szCs w:val="18"/>
              </w:rPr>
              <w:t>(10p)</w:t>
            </w:r>
          </w:p>
        </w:tc>
        <w:tc>
          <w:tcPr>
            <w:tcW w:w="125" w:type="pct"/>
            <w:tcBorders>
              <w:left w:val="nil"/>
              <w:bottom w:val="nil"/>
              <w:right w:val="nil"/>
            </w:tcBorders>
            <w:shd w:val="clear" w:color="auto" w:fill="auto"/>
            <w:noWrap/>
          </w:tcPr>
          <w:p w:rsidR="006D1E99" w:rsidRPr="0010395A" w:rsidRDefault="006D1E99" w:rsidP="00704CC0">
            <w:pPr>
              <w:tabs>
                <w:tab w:val="left" w:pos="567"/>
                <w:tab w:val="left" w:pos="1134"/>
                <w:tab w:val="left" w:pos="1701"/>
                <w:tab w:val="left" w:pos="2268"/>
              </w:tabs>
              <w:jc w:val="right"/>
              <w:rPr>
                <w:rFonts w:cs="Arial"/>
                <w:sz w:val="18"/>
                <w:szCs w:val="18"/>
              </w:rPr>
            </w:pPr>
          </w:p>
        </w:tc>
        <w:tc>
          <w:tcPr>
            <w:tcW w:w="1000" w:type="pct"/>
            <w:tcBorders>
              <w:left w:val="nil"/>
              <w:bottom w:val="nil"/>
              <w:right w:val="nil"/>
            </w:tcBorders>
          </w:tcPr>
          <w:p w:rsidR="006D1E99" w:rsidRPr="0010395A" w:rsidRDefault="006D1E99" w:rsidP="00704CC0">
            <w:pPr>
              <w:tabs>
                <w:tab w:val="left" w:pos="567"/>
                <w:tab w:val="left" w:pos="1134"/>
                <w:tab w:val="left" w:pos="1701"/>
                <w:tab w:val="left" w:pos="2268"/>
              </w:tabs>
              <w:jc w:val="right"/>
              <w:rPr>
                <w:rFonts w:cs="Arial"/>
                <w:sz w:val="18"/>
                <w:szCs w:val="18"/>
                <w:highlight w:val="yellow"/>
              </w:rPr>
            </w:pPr>
            <w:r w:rsidRPr="0010395A">
              <w:rPr>
                <w:rFonts w:cs="Arial"/>
                <w:sz w:val="18"/>
                <w:szCs w:val="18"/>
              </w:rPr>
              <w:t>(9p)</w:t>
            </w:r>
          </w:p>
        </w:tc>
      </w:tr>
      <w:tr w:rsidR="006D1E99" w:rsidRPr="0010395A" w:rsidTr="00562F9C">
        <w:trPr>
          <w:trHeight w:val="20"/>
        </w:trPr>
        <w:tc>
          <w:tcPr>
            <w:tcW w:w="2876" w:type="pct"/>
            <w:tcBorders>
              <w:top w:val="nil"/>
              <w:left w:val="nil"/>
              <w:bottom w:val="nil"/>
              <w:right w:val="nil"/>
            </w:tcBorders>
            <w:shd w:val="clear" w:color="auto" w:fill="auto"/>
            <w:noWrap/>
            <w:vAlign w:val="bottom"/>
          </w:tcPr>
          <w:p w:rsidR="006D1E99" w:rsidRPr="0010395A" w:rsidRDefault="006D1E99" w:rsidP="00704CC0">
            <w:pPr>
              <w:keepNext/>
              <w:keepLines/>
              <w:tabs>
                <w:tab w:val="left" w:pos="567"/>
                <w:tab w:val="left" w:pos="1134"/>
                <w:tab w:val="left" w:pos="1701"/>
                <w:tab w:val="left" w:pos="2268"/>
              </w:tabs>
              <w:ind w:left="567"/>
              <w:rPr>
                <w:rFonts w:cs="Arial"/>
                <w:sz w:val="18"/>
                <w:szCs w:val="18"/>
              </w:rPr>
            </w:pPr>
          </w:p>
        </w:tc>
        <w:tc>
          <w:tcPr>
            <w:tcW w:w="1000" w:type="pct"/>
            <w:tcBorders>
              <w:top w:val="nil"/>
              <w:left w:val="nil"/>
              <w:bottom w:val="nil"/>
              <w:right w:val="nil"/>
            </w:tcBorders>
            <w:shd w:val="clear" w:color="auto" w:fill="auto"/>
            <w:noWrap/>
          </w:tcPr>
          <w:p w:rsidR="006D1E99" w:rsidRPr="0010395A" w:rsidRDefault="006D1E99" w:rsidP="00704CC0">
            <w:pPr>
              <w:keepNext/>
              <w:tabs>
                <w:tab w:val="left" w:pos="567"/>
                <w:tab w:val="left" w:pos="1134"/>
                <w:tab w:val="left" w:pos="1701"/>
                <w:tab w:val="left" w:pos="2268"/>
              </w:tabs>
              <w:jc w:val="right"/>
              <w:outlineLvl w:val="1"/>
              <w:rPr>
                <w:rFonts w:cs="Arial"/>
                <w:b/>
                <w:sz w:val="18"/>
                <w:szCs w:val="18"/>
                <w:highlight w:val="yellow"/>
              </w:rPr>
            </w:pPr>
          </w:p>
        </w:tc>
        <w:tc>
          <w:tcPr>
            <w:tcW w:w="125" w:type="pct"/>
            <w:tcBorders>
              <w:top w:val="nil"/>
              <w:left w:val="nil"/>
              <w:bottom w:val="nil"/>
              <w:right w:val="nil"/>
            </w:tcBorders>
            <w:shd w:val="clear" w:color="auto" w:fill="auto"/>
            <w:noWrap/>
          </w:tcPr>
          <w:p w:rsidR="006D1E99" w:rsidRPr="0010395A" w:rsidRDefault="006D1E99" w:rsidP="00704CC0">
            <w:pPr>
              <w:tabs>
                <w:tab w:val="left" w:pos="567"/>
                <w:tab w:val="left" w:pos="1134"/>
                <w:tab w:val="left" w:pos="1701"/>
                <w:tab w:val="left" w:pos="2268"/>
              </w:tabs>
              <w:jc w:val="right"/>
              <w:rPr>
                <w:rFonts w:cs="Arial"/>
                <w:sz w:val="18"/>
                <w:szCs w:val="18"/>
              </w:rPr>
            </w:pPr>
          </w:p>
        </w:tc>
        <w:tc>
          <w:tcPr>
            <w:tcW w:w="1000" w:type="pct"/>
            <w:tcBorders>
              <w:top w:val="nil"/>
              <w:left w:val="nil"/>
              <w:bottom w:val="nil"/>
              <w:right w:val="nil"/>
            </w:tcBorders>
          </w:tcPr>
          <w:p w:rsidR="006D1E99" w:rsidRPr="0010395A" w:rsidRDefault="006D1E99" w:rsidP="00704CC0">
            <w:pPr>
              <w:keepNext/>
              <w:tabs>
                <w:tab w:val="left" w:pos="567"/>
                <w:tab w:val="left" w:pos="1134"/>
                <w:tab w:val="left" w:pos="1701"/>
                <w:tab w:val="left" w:pos="2268"/>
              </w:tabs>
              <w:jc w:val="right"/>
              <w:outlineLvl w:val="1"/>
              <w:rPr>
                <w:rFonts w:cs="Arial"/>
                <w:sz w:val="18"/>
                <w:szCs w:val="18"/>
                <w:highlight w:val="yellow"/>
              </w:rPr>
            </w:pPr>
          </w:p>
        </w:tc>
      </w:tr>
      <w:tr w:rsidR="006D1E99" w:rsidRPr="0010395A" w:rsidTr="00562F9C">
        <w:trPr>
          <w:trHeight w:val="20"/>
        </w:trPr>
        <w:tc>
          <w:tcPr>
            <w:tcW w:w="2876" w:type="pct"/>
            <w:tcBorders>
              <w:top w:val="nil"/>
              <w:left w:val="nil"/>
              <w:bottom w:val="nil"/>
              <w:right w:val="nil"/>
            </w:tcBorders>
            <w:shd w:val="clear" w:color="auto" w:fill="auto"/>
            <w:noWrap/>
            <w:vAlign w:val="bottom"/>
          </w:tcPr>
          <w:p w:rsidR="006D1E99" w:rsidRPr="0010395A" w:rsidRDefault="006D1E99" w:rsidP="00704CC0">
            <w:pPr>
              <w:keepNext/>
              <w:keepLines/>
              <w:tabs>
                <w:tab w:val="left" w:pos="567"/>
                <w:tab w:val="left" w:pos="1134"/>
                <w:tab w:val="left" w:pos="1701"/>
                <w:tab w:val="left" w:pos="2268"/>
              </w:tabs>
              <w:ind w:left="567"/>
              <w:rPr>
                <w:rFonts w:cs="Arial"/>
                <w:sz w:val="18"/>
                <w:szCs w:val="18"/>
              </w:rPr>
            </w:pPr>
            <w:r w:rsidRPr="0010395A">
              <w:rPr>
                <w:rFonts w:cs="Arial"/>
                <w:sz w:val="18"/>
                <w:szCs w:val="18"/>
              </w:rPr>
              <w:t>Net asset value per share (statutory)</w:t>
            </w:r>
          </w:p>
        </w:tc>
        <w:tc>
          <w:tcPr>
            <w:tcW w:w="1000" w:type="pct"/>
            <w:tcBorders>
              <w:top w:val="nil"/>
              <w:left w:val="nil"/>
              <w:bottom w:val="nil"/>
              <w:right w:val="nil"/>
            </w:tcBorders>
            <w:shd w:val="clear" w:color="auto" w:fill="auto"/>
            <w:noWrap/>
            <w:vAlign w:val="bottom"/>
          </w:tcPr>
          <w:p w:rsidR="006D1E99" w:rsidRPr="0010395A" w:rsidRDefault="004923FF" w:rsidP="00704CC0">
            <w:pPr>
              <w:tabs>
                <w:tab w:val="left" w:pos="567"/>
                <w:tab w:val="left" w:pos="1134"/>
                <w:tab w:val="left" w:pos="1701"/>
                <w:tab w:val="left" w:pos="2268"/>
              </w:tabs>
              <w:jc w:val="right"/>
              <w:rPr>
                <w:rFonts w:cs="Arial"/>
                <w:b/>
                <w:sz w:val="18"/>
                <w:szCs w:val="18"/>
              </w:rPr>
            </w:pPr>
            <w:r w:rsidRPr="0010395A">
              <w:rPr>
                <w:rFonts w:cs="Arial"/>
                <w:sz w:val="18"/>
                <w:szCs w:val="18"/>
              </w:rPr>
              <w:t>£</w:t>
            </w:r>
            <w:r w:rsidR="00210B50" w:rsidRPr="0010395A">
              <w:rPr>
                <w:rFonts w:cs="Arial"/>
                <w:b/>
                <w:sz w:val="18"/>
                <w:szCs w:val="18"/>
              </w:rPr>
              <w:t>0.</w:t>
            </w:r>
            <w:r w:rsidR="008C3CBC" w:rsidRPr="0010395A">
              <w:rPr>
                <w:rFonts w:cs="Arial"/>
                <w:b/>
                <w:sz w:val="18"/>
                <w:szCs w:val="18"/>
              </w:rPr>
              <w:t>33</w:t>
            </w:r>
          </w:p>
        </w:tc>
        <w:tc>
          <w:tcPr>
            <w:tcW w:w="125" w:type="pct"/>
            <w:tcBorders>
              <w:top w:val="nil"/>
              <w:left w:val="nil"/>
              <w:bottom w:val="nil"/>
              <w:right w:val="nil"/>
            </w:tcBorders>
            <w:shd w:val="clear" w:color="auto" w:fill="auto"/>
            <w:noWrap/>
            <w:vAlign w:val="bottom"/>
          </w:tcPr>
          <w:p w:rsidR="006D1E99" w:rsidRPr="0010395A" w:rsidRDefault="006D1E99" w:rsidP="00704CC0">
            <w:pPr>
              <w:tabs>
                <w:tab w:val="left" w:pos="567"/>
                <w:tab w:val="left" w:pos="1134"/>
                <w:tab w:val="left" w:pos="1701"/>
                <w:tab w:val="left" w:pos="2268"/>
              </w:tabs>
              <w:jc w:val="right"/>
              <w:rPr>
                <w:rFonts w:cs="Arial"/>
                <w:sz w:val="18"/>
                <w:szCs w:val="18"/>
              </w:rPr>
            </w:pPr>
          </w:p>
        </w:tc>
        <w:tc>
          <w:tcPr>
            <w:tcW w:w="1000" w:type="pct"/>
            <w:tcBorders>
              <w:top w:val="nil"/>
              <w:left w:val="nil"/>
              <w:bottom w:val="nil"/>
              <w:right w:val="nil"/>
            </w:tcBorders>
            <w:vAlign w:val="bottom"/>
          </w:tcPr>
          <w:p w:rsidR="006D1E99" w:rsidRPr="0010395A" w:rsidRDefault="006D1E99" w:rsidP="00704CC0">
            <w:pPr>
              <w:tabs>
                <w:tab w:val="left" w:pos="567"/>
                <w:tab w:val="left" w:pos="1134"/>
                <w:tab w:val="left" w:pos="1701"/>
                <w:tab w:val="left" w:pos="2268"/>
              </w:tabs>
              <w:jc w:val="right"/>
              <w:rPr>
                <w:rFonts w:cs="Arial"/>
                <w:sz w:val="18"/>
                <w:szCs w:val="18"/>
                <w:highlight w:val="yellow"/>
              </w:rPr>
            </w:pPr>
            <w:r w:rsidRPr="0010395A">
              <w:rPr>
                <w:rFonts w:cs="Arial"/>
                <w:sz w:val="18"/>
                <w:szCs w:val="18"/>
              </w:rPr>
              <w:t>£0.44</w:t>
            </w:r>
          </w:p>
        </w:tc>
      </w:tr>
      <w:tr w:rsidR="00210B50" w:rsidRPr="0010395A" w:rsidTr="00562F9C">
        <w:trPr>
          <w:trHeight w:val="20"/>
        </w:trPr>
        <w:tc>
          <w:tcPr>
            <w:tcW w:w="2876" w:type="pct"/>
            <w:tcBorders>
              <w:top w:val="nil"/>
              <w:left w:val="nil"/>
              <w:bottom w:val="nil"/>
              <w:right w:val="nil"/>
            </w:tcBorders>
            <w:shd w:val="clear" w:color="auto" w:fill="auto"/>
            <w:noWrap/>
            <w:vAlign w:val="bottom"/>
          </w:tcPr>
          <w:p w:rsidR="00210B50" w:rsidRPr="0010395A" w:rsidRDefault="00210B50" w:rsidP="00704CC0">
            <w:pPr>
              <w:keepNext/>
              <w:keepLines/>
              <w:tabs>
                <w:tab w:val="left" w:pos="567"/>
                <w:tab w:val="left" w:pos="1134"/>
                <w:tab w:val="left" w:pos="1701"/>
                <w:tab w:val="left" w:pos="2268"/>
              </w:tabs>
              <w:ind w:left="567"/>
              <w:rPr>
                <w:rFonts w:cs="Arial"/>
                <w:sz w:val="18"/>
                <w:szCs w:val="18"/>
              </w:rPr>
            </w:pPr>
            <w:r w:rsidRPr="0010395A">
              <w:rPr>
                <w:rFonts w:cs="Arial"/>
                <w:sz w:val="18"/>
                <w:szCs w:val="18"/>
              </w:rPr>
              <w:t>Net asset value per share (statutory) is based on the statutory net assets as at year end</w:t>
            </w:r>
          </w:p>
        </w:tc>
        <w:tc>
          <w:tcPr>
            <w:tcW w:w="1000" w:type="pct"/>
            <w:tcBorders>
              <w:top w:val="nil"/>
              <w:left w:val="nil"/>
              <w:bottom w:val="nil"/>
              <w:right w:val="nil"/>
            </w:tcBorders>
            <w:shd w:val="clear" w:color="auto" w:fill="auto"/>
            <w:noWrap/>
          </w:tcPr>
          <w:p w:rsidR="00210B50" w:rsidRPr="0010395A" w:rsidRDefault="00210B50" w:rsidP="00704CC0">
            <w:pPr>
              <w:tabs>
                <w:tab w:val="left" w:pos="567"/>
                <w:tab w:val="left" w:pos="1134"/>
                <w:tab w:val="left" w:pos="1701"/>
                <w:tab w:val="left" w:pos="2268"/>
              </w:tabs>
              <w:jc w:val="right"/>
              <w:rPr>
                <w:rFonts w:cs="Arial"/>
                <w:b/>
                <w:sz w:val="18"/>
                <w:szCs w:val="18"/>
              </w:rPr>
            </w:pPr>
          </w:p>
          <w:p w:rsidR="00210B50" w:rsidRPr="0010395A" w:rsidRDefault="00210B50" w:rsidP="00704CC0">
            <w:pPr>
              <w:tabs>
                <w:tab w:val="left" w:pos="567"/>
                <w:tab w:val="left" w:pos="1134"/>
                <w:tab w:val="left" w:pos="1701"/>
                <w:tab w:val="left" w:pos="2268"/>
              </w:tabs>
              <w:jc w:val="right"/>
              <w:rPr>
                <w:rFonts w:cs="Arial"/>
                <w:b/>
                <w:sz w:val="18"/>
                <w:szCs w:val="18"/>
              </w:rPr>
            </w:pPr>
            <w:r w:rsidRPr="0010395A">
              <w:rPr>
                <w:rFonts w:cs="Arial"/>
                <w:b/>
                <w:sz w:val="18"/>
                <w:szCs w:val="18"/>
              </w:rPr>
              <w:t>£8,126,907</w:t>
            </w:r>
          </w:p>
        </w:tc>
        <w:tc>
          <w:tcPr>
            <w:tcW w:w="125" w:type="pct"/>
            <w:tcBorders>
              <w:top w:val="nil"/>
              <w:left w:val="nil"/>
              <w:bottom w:val="nil"/>
              <w:right w:val="nil"/>
            </w:tcBorders>
            <w:shd w:val="clear" w:color="auto" w:fill="auto"/>
            <w:noWrap/>
          </w:tcPr>
          <w:p w:rsidR="00210B50" w:rsidRPr="0010395A" w:rsidRDefault="00210B50" w:rsidP="00704CC0">
            <w:pPr>
              <w:tabs>
                <w:tab w:val="left" w:pos="567"/>
                <w:tab w:val="left" w:pos="1134"/>
                <w:tab w:val="left" w:pos="1701"/>
                <w:tab w:val="left" w:pos="2268"/>
              </w:tabs>
              <w:jc w:val="right"/>
              <w:rPr>
                <w:rFonts w:cs="Arial"/>
                <w:sz w:val="18"/>
                <w:szCs w:val="18"/>
              </w:rPr>
            </w:pPr>
          </w:p>
        </w:tc>
        <w:tc>
          <w:tcPr>
            <w:tcW w:w="1000" w:type="pct"/>
            <w:tcBorders>
              <w:top w:val="nil"/>
              <w:left w:val="nil"/>
              <w:bottom w:val="nil"/>
              <w:right w:val="nil"/>
            </w:tcBorders>
          </w:tcPr>
          <w:p w:rsidR="00210B50" w:rsidRPr="0010395A" w:rsidRDefault="00210B50" w:rsidP="00704CC0">
            <w:pPr>
              <w:tabs>
                <w:tab w:val="left" w:pos="567"/>
                <w:tab w:val="left" w:pos="1134"/>
                <w:tab w:val="left" w:pos="1701"/>
                <w:tab w:val="left" w:pos="2268"/>
              </w:tabs>
              <w:jc w:val="right"/>
              <w:rPr>
                <w:rFonts w:cs="Arial"/>
                <w:sz w:val="18"/>
                <w:szCs w:val="18"/>
              </w:rPr>
            </w:pPr>
          </w:p>
          <w:p w:rsidR="00210B50" w:rsidRPr="0010395A" w:rsidRDefault="00210B50" w:rsidP="00704CC0">
            <w:pPr>
              <w:tabs>
                <w:tab w:val="left" w:pos="567"/>
                <w:tab w:val="left" w:pos="1134"/>
                <w:tab w:val="left" w:pos="1701"/>
                <w:tab w:val="left" w:pos="2268"/>
              </w:tabs>
              <w:jc w:val="right"/>
              <w:rPr>
                <w:rFonts w:cs="Arial"/>
                <w:sz w:val="18"/>
                <w:szCs w:val="18"/>
              </w:rPr>
            </w:pPr>
            <w:r w:rsidRPr="0010395A">
              <w:rPr>
                <w:rFonts w:cs="Arial"/>
                <w:sz w:val="18"/>
                <w:szCs w:val="18"/>
              </w:rPr>
              <w:t>£20,985,702</w:t>
            </w:r>
          </w:p>
        </w:tc>
      </w:tr>
    </w:tbl>
    <w:p w:rsidR="000605C5" w:rsidRPr="00A76890" w:rsidRDefault="0092140F" w:rsidP="00704CC0">
      <w:pPr>
        <w:pStyle w:val="Normal2-Para"/>
        <w:spacing w:line="240" w:lineRule="auto"/>
        <w:ind w:left="567"/>
      </w:pPr>
      <w:r w:rsidRPr="00A76890">
        <w:t>There were no options in issue to dilute the earnings per share as at 31 August 201</w:t>
      </w:r>
      <w:r w:rsidR="006D1E99" w:rsidRPr="00A76890">
        <w:t>3</w:t>
      </w:r>
      <w:r w:rsidRPr="00A76890">
        <w:t>.</w:t>
      </w:r>
    </w:p>
    <w:p w:rsidR="00863596" w:rsidRPr="0010395A" w:rsidRDefault="0092140F" w:rsidP="00704CC0">
      <w:pPr>
        <w:keepNext/>
        <w:keepLines/>
        <w:numPr>
          <w:ilvl w:val="0"/>
          <w:numId w:val="4"/>
        </w:numPr>
        <w:tabs>
          <w:tab w:val="clear" w:pos="810"/>
          <w:tab w:val="left" w:pos="567"/>
          <w:tab w:val="left" w:pos="1134"/>
          <w:tab w:val="left" w:pos="1701"/>
          <w:tab w:val="left" w:pos="2268"/>
        </w:tabs>
        <w:spacing w:before="240"/>
        <w:ind w:left="567" w:hanging="567"/>
        <w:rPr>
          <w:rFonts w:cs="Arial"/>
          <w:b/>
        </w:rPr>
      </w:pPr>
      <w:r w:rsidRPr="0010395A">
        <w:rPr>
          <w:rFonts w:cs="Arial"/>
          <w:b/>
        </w:rPr>
        <w:t>Financial assets and liabilities</w:t>
      </w:r>
    </w:p>
    <w:p w:rsidR="0092140F" w:rsidRPr="00A76890" w:rsidRDefault="0092140F" w:rsidP="00704CC0">
      <w:pPr>
        <w:pStyle w:val="Normal2-Para"/>
        <w:spacing w:line="240" w:lineRule="auto"/>
        <w:ind w:left="567"/>
      </w:pPr>
      <w:r w:rsidRPr="00A76890">
        <w:t>The carrying amounts presented in the consolidated statement of financial position relate to the following categories of financial assets and liabilities:</w:t>
      </w:r>
    </w:p>
    <w:p w:rsidR="0092140F" w:rsidRPr="00A76890" w:rsidRDefault="0092140F" w:rsidP="00704CC0">
      <w:pPr>
        <w:pStyle w:val="Heading3-Sub-para"/>
        <w:ind w:left="567"/>
      </w:pPr>
      <w:r w:rsidRPr="00A76890">
        <w:t>Financial assets</w:t>
      </w:r>
    </w:p>
    <w:tbl>
      <w:tblPr>
        <w:tblW w:w="8953" w:type="dxa"/>
        <w:tblLayout w:type="fixed"/>
        <w:tblCellMar>
          <w:top w:w="28" w:type="dxa"/>
          <w:left w:w="57" w:type="dxa"/>
          <w:bottom w:w="28" w:type="dxa"/>
          <w:right w:w="57" w:type="dxa"/>
        </w:tblCellMar>
        <w:tblLook w:val="0000"/>
      </w:tblPr>
      <w:tblGrid>
        <w:gridCol w:w="3414"/>
        <w:gridCol w:w="813"/>
        <w:gridCol w:w="1182"/>
        <w:gridCol w:w="1182"/>
        <w:gridCol w:w="1182"/>
        <w:gridCol w:w="1180"/>
      </w:tblGrid>
      <w:tr w:rsidR="0010395A" w:rsidRPr="00A76890" w:rsidTr="00562F9C">
        <w:trPr>
          <w:cantSplit/>
          <w:trHeight w:val="20"/>
        </w:trPr>
        <w:tc>
          <w:tcPr>
            <w:tcW w:w="1907" w:type="pct"/>
          </w:tcPr>
          <w:p w:rsidR="0010395A" w:rsidRPr="0010395A" w:rsidRDefault="0010395A" w:rsidP="00704CC0">
            <w:pPr>
              <w:keepNext/>
              <w:keepLines/>
              <w:tabs>
                <w:tab w:val="left" w:pos="567"/>
                <w:tab w:val="left" w:pos="1134"/>
                <w:tab w:val="left" w:pos="1701"/>
                <w:tab w:val="left" w:pos="2268"/>
              </w:tabs>
              <w:autoSpaceDE w:val="0"/>
              <w:autoSpaceDN w:val="0"/>
              <w:adjustRightInd w:val="0"/>
              <w:rPr>
                <w:rFonts w:cs="Arial"/>
                <w:b/>
                <w:bCs/>
                <w:sz w:val="18"/>
                <w:szCs w:val="18"/>
              </w:rPr>
            </w:pPr>
          </w:p>
        </w:tc>
        <w:tc>
          <w:tcPr>
            <w:tcW w:w="454" w:type="pct"/>
            <w:vAlign w:val="bottom"/>
          </w:tcPr>
          <w:p w:rsidR="0010395A" w:rsidRPr="0010395A" w:rsidRDefault="0010395A" w:rsidP="00704CC0">
            <w:pPr>
              <w:keepNext/>
              <w:keepLines/>
              <w:tabs>
                <w:tab w:val="left" w:pos="567"/>
                <w:tab w:val="left" w:pos="1134"/>
                <w:tab w:val="left" w:pos="1701"/>
                <w:tab w:val="left" w:pos="2268"/>
              </w:tabs>
              <w:rPr>
                <w:rFonts w:cs="Arial"/>
                <w:b/>
                <w:bCs/>
                <w:sz w:val="18"/>
                <w:szCs w:val="18"/>
              </w:rPr>
            </w:pPr>
            <w:r w:rsidRPr="0010395A">
              <w:rPr>
                <w:rFonts w:cs="Arial"/>
                <w:b/>
                <w:bCs/>
                <w:sz w:val="18"/>
                <w:szCs w:val="18"/>
              </w:rPr>
              <w:t>Notes</w:t>
            </w:r>
          </w:p>
        </w:tc>
        <w:tc>
          <w:tcPr>
            <w:tcW w:w="660" w:type="pct"/>
            <w:vAlign w:val="bottom"/>
          </w:tcPr>
          <w:p w:rsidR="0010395A" w:rsidRPr="0010395A" w:rsidRDefault="0010395A" w:rsidP="00704CC0">
            <w:pPr>
              <w:keepNext/>
              <w:keepLines/>
              <w:tabs>
                <w:tab w:val="left" w:pos="567"/>
                <w:tab w:val="left" w:pos="1134"/>
                <w:tab w:val="left" w:pos="1701"/>
                <w:tab w:val="left" w:pos="2268"/>
              </w:tabs>
              <w:jc w:val="right"/>
              <w:rPr>
                <w:rFonts w:cs="Arial"/>
                <w:b/>
                <w:sz w:val="18"/>
                <w:szCs w:val="18"/>
              </w:rPr>
            </w:pPr>
            <w:r w:rsidRPr="0010395A">
              <w:rPr>
                <w:rFonts w:cs="Arial"/>
                <w:b/>
                <w:sz w:val="18"/>
                <w:szCs w:val="18"/>
              </w:rPr>
              <w:t>Group</w:t>
            </w:r>
          </w:p>
          <w:p w:rsidR="0010395A" w:rsidRPr="0010395A" w:rsidRDefault="0010395A" w:rsidP="00704CC0">
            <w:pPr>
              <w:keepNext/>
              <w:keepLines/>
              <w:tabs>
                <w:tab w:val="left" w:pos="567"/>
                <w:tab w:val="left" w:pos="1134"/>
                <w:tab w:val="left" w:pos="1701"/>
                <w:tab w:val="left" w:pos="2268"/>
              </w:tabs>
              <w:jc w:val="right"/>
              <w:rPr>
                <w:rFonts w:cs="Arial"/>
                <w:b/>
                <w:sz w:val="18"/>
                <w:szCs w:val="18"/>
              </w:rPr>
            </w:pPr>
            <w:r w:rsidRPr="0010395A">
              <w:rPr>
                <w:rFonts w:cs="Arial"/>
                <w:b/>
                <w:sz w:val="18"/>
                <w:szCs w:val="18"/>
              </w:rPr>
              <w:t>2013</w:t>
            </w:r>
          </w:p>
          <w:p w:rsidR="0010395A" w:rsidRPr="0010395A" w:rsidRDefault="0010395A" w:rsidP="00704CC0">
            <w:pPr>
              <w:keepNext/>
              <w:keepLines/>
              <w:tabs>
                <w:tab w:val="left" w:pos="567"/>
                <w:tab w:val="left" w:pos="1134"/>
                <w:tab w:val="left" w:pos="1701"/>
                <w:tab w:val="left" w:pos="2268"/>
              </w:tabs>
              <w:jc w:val="right"/>
              <w:rPr>
                <w:rFonts w:cs="Arial"/>
                <w:b/>
                <w:sz w:val="18"/>
                <w:szCs w:val="18"/>
              </w:rPr>
            </w:pPr>
            <w:r w:rsidRPr="0010395A">
              <w:rPr>
                <w:rFonts w:cs="Arial"/>
                <w:b/>
                <w:bCs/>
                <w:sz w:val="18"/>
                <w:szCs w:val="18"/>
              </w:rPr>
              <w:t>£'000</w:t>
            </w:r>
          </w:p>
        </w:tc>
        <w:tc>
          <w:tcPr>
            <w:tcW w:w="660" w:type="pct"/>
            <w:vAlign w:val="bottom"/>
          </w:tcPr>
          <w:p w:rsidR="0010395A" w:rsidRPr="0010395A" w:rsidRDefault="0010395A" w:rsidP="00704CC0">
            <w:pPr>
              <w:keepNext/>
              <w:keepLines/>
              <w:tabs>
                <w:tab w:val="left" w:pos="567"/>
                <w:tab w:val="left" w:pos="1134"/>
                <w:tab w:val="left" w:pos="1701"/>
                <w:tab w:val="left" w:pos="2268"/>
              </w:tabs>
              <w:ind w:right="-73"/>
              <w:jc w:val="right"/>
              <w:rPr>
                <w:rFonts w:cs="Arial"/>
                <w:b/>
                <w:sz w:val="18"/>
                <w:szCs w:val="18"/>
              </w:rPr>
            </w:pPr>
            <w:r w:rsidRPr="0010395A">
              <w:rPr>
                <w:rFonts w:cs="Arial"/>
                <w:b/>
                <w:sz w:val="18"/>
                <w:szCs w:val="18"/>
              </w:rPr>
              <w:t>Company</w:t>
            </w:r>
          </w:p>
          <w:p w:rsidR="0010395A" w:rsidRPr="0010395A" w:rsidRDefault="0010395A" w:rsidP="00704CC0">
            <w:pPr>
              <w:keepNext/>
              <w:keepLines/>
              <w:tabs>
                <w:tab w:val="left" w:pos="567"/>
                <w:tab w:val="left" w:pos="1134"/>
                <w:tab w:val="left" w:pos="1701"/>
                <w:tab w:val="left" w:pos="2268"/>
              </w:tabs>
              <w:jc w:val="right"/>
              <w:rPr>
                <w:rFonts w:cs="Arial"/>
                <w:b/>
                <w:sz w:val="18"/>
                <w:szCs w:val="18"/>
              </w:rPr>
            </w:pPr>
            <w:r w:rsidRPr="0010395A">
              <w:rPr>
                <w:rFonts w:cs="Arial"/>
                <w:b/>
                <w:sz w:val="18"/>
                <w:szCs w:val="18"/>
              </w:rPr>
              <w:t>2013</w:t>
            </w:r>
          </w:p>
          <w:p w:rsidR="0010395A" w:rsidRPr="0010395A" w:rsidRDefault="0010395A" w:rsidP="00704CC0">
            <w:pPr>
              <w:keepNext/>
              <w:keepLines/>
              <w:tabs>
                <w:tab w:val="left" w:pos="567"/>
                <w:tab w:val="left" w:pos="1134"/>
                <w:tab w:val="left" w:pos="1701"/>
                <w:tab w:val="left" w:pos="2268"/>
              </w:tabs>
              <w:jc w:val="right"/>
              <w:rPr>
                <w:rFonts w:cs="Arial"/>
                <w:b/>
                <w:sz w:val="18"/>
                <w:szCs w:val="18"/>
              </w:rPr>
            </w:pPr>
            <w:r w:rsidRPr="0010395A">
              <w:rPr>
                <w:rFonts w:cs="Arial"/>
                <w:b/>
                <w:bCs/>
                <w:sz w:val="18"/>
                <w:szCs w:val="18"/>
              </w:rPr>
              <w:t>£'000</w:t>
            </w:r>
          </w:p>
        </w:tc>
        <w:tc>
          <w:tcPr>
            <w:tcW w:w="660" w:type="pct"/>
            <w:vAlign w:val="bottom"/>
          </w:tcPr>
          <w:p w:rsidR="0010395A" w:rsidRPr="0010395A" w:rsidRDefault="0010395A" w:rsidP="00704CC0">
            <w:pPr>
              <w:keepNext/>
              <w:keepLines/>
              <w:tabs>
                <w:tab w:val="left" w:pos="567"/>
                <w:tab w:val="left" w:pos="1134"/>
                <w:tab w:val="left" w:pos="1701"/>
                <w:tab w:val="left" w:pos="2268"/>
              </w:tabs>
              <w:jc w:val="right"/>
              <w:rPr>
                <w:rFonts w:cs="Arial"/>
                <w:sz w:val="18"/>
                <w:szCs w:val="18"/>
              </w:rPr>
            </w:pPr>
            <w:r w:rsidRPr="0010395A">
              <w:rPr>
                <w:rFonts w:cs="Arial"/>
                <w:sz w:val="18"/>
                <w:szCs w:val="18"/>
              </w:rPr>
              <w:t>Group</w:t>
            </w:r>
          </w:p>
          <w:p w:rsidR="0010395A" w:rsidRPr="0010395A" w:rsidRDefault="0010395A" w:rsidP="00704CC0">
            <w:pPr>
              <w:keepNext/>
              <w:keepLines/>
              <w:tabs>
                <w:tab w:val="left" w:pos="567"/>
                <w:tab w:val="left" w:pos="1134"/>
                <w:tab w:val="left" w:pos="1701"/>
                <w:tab w:val="left" w:pos="2268"/>
              </w:tabs>
              <w:jc w:val="right"/>
              <w:rPr>
                <w:rFonts w:cs="Arial"/>
                <w:sz w:val="18"/>
                <w:szCs w:val="18"/>
              </w:rPr>
            </w:pPr>
            <w:r w:rsidRPr="0010395A">
              <w:rPr>
                <w:rFonts w:cs="Arial"/>
                <w:sz w:val="18"/>
                <w:szCs w:val="18"/>
              </w:rPr>
              <w:t>2012</w:t>
            </w:r>
          </w:p>
          <w:p w:rsidR="0010395A" w:rsidRPr="0010395A" w:rsidRDefault="0010395A" w:rsidP="00704CC0">
            <w:pPr>
              <w:keepNext/>
              <w:keepLines/>
              <w:tabs>
                <w:tab w:val="left" w:pos="567"/>
                <w:tab w:val="left" w:pos="1134"/>
                <w:tab w:val="left" w:pos="1701"/>
                <w:tab w:val="left" w:pos="2268"/>
              </w:tabs>
              <w:jc w:val="right"/>
              <w:rPr>
                <w:rFonts w:cs="Arial"/>
                <w:sz w:val="18"/>
                <w:szCs w:val="18"/>
              </w:rPr>
            </w:pPr>
            <w:r w:rsidRPr="0010395A">
              <w:rPr>
                <w:rFonts w:cs="Arial"/>
                <w:bCs/>
                <w:sz w:val="18"/>
                <w:szCs w:val="18"/>
              </w:rPr>
              <w:t>£'000</w:t>
            </w:r>
          </w:p>
        </w:tc>
        <w:tc>
          <w:tcPr>
            <w:tcW w:w="659" w:type="pct"/>
            <w:vAlign w:val="bottom"/>
          </w:tcPr>
          <w:p w:rsidR="0010395A" w:rsidRPr="0010395A" w:rsidRDefault="0010395A" w:rsidP="00704CC0">
            <w:pPr>
              <w:keepNext/>
              <w:keepLines/>
              <w:tabs>
                <w:tab w:val="left" w:pos="567"/>
                <w:tab w:val="left" w:pos="1134"/>
                <w:tab w:val="left" w:pos="1701"/>
                <w:tab w:val="left" w:pos="2268"/>
              </w:tabs>
              <w:ind w:right="-73"/>
              <w:jc w:val="right"/>
              <w:rPr>
                <w:rFonts w:cs="Arial"/>
                <w:sz w:val="18"/>
                <w:szCs w:val="18"/>
              </w:rPr>
            </w:pPr>
            <w:r w:rsidRPr="0010395A">
              <w:rPr>
                <w:rFonts w:cs="Arial"/>
                <w:sz w:val="18"/>
                <w:szCs w:val="18"/>
              </w:rPr>
              <w:t>Company</w:t>
            </w:r>
          </w:p>
          <w:p w:rsidR="0010395A" w:rsidRPr="0010395A" w:rsidRDefault="0010395A" w:rsidP="00704CC0">
            <w:pPr>
              <w:keepNext/>
              <w:keepLines/>
              <w:tabs>
                <w:tab w:val="left" w:pos="567"/>
                <w:tab w:val="left" w:pos="1134"/>
                <w:tab w:val="left" w:pos="1701"/>
                <w:tab w:val="left" w:pos="2268"/>
              </w:tabs>
              <w:jc w:val="right"/>
              <w:rPr>
                <w:rFonts w:cs="Arial"/>
                <w:sz w:val="18"/>
                <w:szCs w:val="18"/>
              </w:rPr>
            </w:pPr>
            <w:r w:rsidRPr="0010395A">
              <w:rPr>
                <w:rFonts w:cs="Arial"/>
                <w:sz w:val="18"/>
                <w:szCs w:val="18"/>
              </w:rPr>
              <w:t>2012</w:t>
            </w:r>
          </w:p>
          <w:p w:rsidR="0010395A" w:rsidRPr="0010395A" w:rsidRDefault="0010395A" w:rsidP="00704CC0">
            <w:pPr>
              <w:keepNext/>
              <w:keepLines/>
              <w:tabs>
                <w:tab w:val="left" w:pos="567"/>
                <w:tab w:val="left" w:pos="1134"/>
                <w:tab w:val="left" w:pos="1701"/>
                <w:tab w:val="left" w:pos="2268"/>
              </w:tabs>
              <w:jc w:val="right"/>
              <w:rPr>
                <w:rFonts w:cs="Arial"/>
                <w:sz w:val="18"/>
                <w:szCs w:val="18"/>
              </w:rPr>
            </w:pPr>
            <w:r w:rsidRPr="0010395A">
              <w:rPr>
                <w:rFonts w:cs="Arial"/>
                <w:bCs/>
                <w:sz w:val="18"/>
                <w:szCs w:val="18"/>
              </w:rPr>
              <w:t>£'000</w:t>
            </w:r>
          </w:p>
        </w:tc>
      </w:tr>
      <w:tr w:rsidR="00EB2F39" w:rsidRPr="00A76890" w:rsidTr="00562F9C">
        <w:trPr>
          <w:cantSplit/>
          <w:trHeight w:val="20"/>
        </w:trPr>
        <w:tc>
          <w:tcPr>
            <w:tcW w:w="1907" w:type="pct"/>
          </w:tcPr>
          <w:p w:rsidR="00EB2F39" w:rsidRPr="0010395A" w:rsidRDefault="00EB2F39" w:rsidP="00704CC0">
            <w:pPr>
              <w:keepNext/>
              <w:keepLines/>
              <w:tabs>
                <w:tab w:val="left" w:pos="567"/>
                <w:tab w:val="left" w:pos="1134"/>
                <w:tab w:val="left" w:pos="1701"/>
                <w:tab w:val="left" w:pos="2268"/>
              </w:tabs>
              <w:ind w:left="567"/>
              <w:rPr>
                <w:rFonts w:cs="Arial"/>
                <w:sz w:val="18"/>
                <w:szCs w:val="18"/>
              </w:rPr>
            </w:pPr>
            <w:r w:rsidRPr="0010395A">
              <w:rPr>
                <w:rFonts w:cs="Arial"/>
                <w:sz w:val="18"/>
                <w:szCs w:val="18"/>
              </w:rPr>
              <w:t xml:space="preserve">Investments at fair value through profit or loss </w:t>
            </w:r>
            <w:r w:rsidRPr="0010395A">
              <w:rPr>
                <w:rFonts w:cs="Arial"/>
                <w:i/>
                <w:sz w:val="18"/>
                <w:szCs w:val="18"/>
              </w:rPr>
              <w:t>(designated as fair value through profit or loss)</w:t>
            </w:r>
          </w:p>
        </w:tc>
        <w:tc>
          <w:tcPr>
            <w:tcW w:w="454" w:type="pct"/>
            <w:vAlign w:val="bottom"/>
          </w:tcPr>
          <w:p w:rsidR="00EB2F39" w:rsidRPr="0010395A" w:rsidRDefault="00EB2F39" w:rsidP="00704CC0">
            <w:pPr>
              <w:keepNext/>
              <w:keepLines/>
              <w:tabs>
                <w:tab w:val="left" w:pos="567"/>
                <w:tab w:val="left" w:pos="1134"/>
                <w:tab w:val="left" w:pos="1701"/>
                <w:tab w:val="left" w:pos="2268"/>
              </w:tabs>
              <w:rPr>
                <w:rFonts w:cs="Arial"/>
                <w:b/>
                <w:sz w:val="18"/>
                <w:szCs w:val="18"/>
                <w:highlight w:val="yellow"/>
              </w:rPr>
            </w:pPr>
            <w:r w:rsidRPr="0010395A">
              <w:rPr>
                <w:rFonts w:cs="Arial"/>
                <w:b/>
                <w:sz w:val="18"/>
                <w:szCs w:val="18"/>
              </w:rPr>
              <w:t>14</w:t>
            </w:r>
          </w:p>
        </w:tc>
        <w:tc>
          <w:tcPr>
            <w:tcW w:w="660" w:type="pct"/>
            <w:vAlign w:val="bottom"/>
          </w:tcPr>
          <w:p w:rsidR="00EB2F39" w:rsidRPr="0010395A" w:rsidRDefault="00210B50" w:rsidP="00704CC0">
            <w:pPr>
              <w:keepNext/>
              <w:keepLines/>
              <w:tabs>
                <w:tab w:val="left" w:pos="567"/>
                <w:tab w:val="left" w:pos="1134"/>
                <w:tab w:val="left" w:pos="1701"/>
                <w:tab w:val="left" w:pos="2268"/>
              </w:tabs>
              <w:jc w:val="right"/>
              <w:rPr>
                <w:rFonts w:cs="Arial"/>
                <w:b/>
                <w:sz w:val="18"/>
                <w:szCs w:val="18"/>
              </w:rPr>
            </w:pPr>
            <w:r w:rsidRPr="0010395A">
              <w:rPr>
                <w:rFonts w:cs="Arial"/>
                <w:b/>
                <w:sz w:val="18"/>
                <w:szCs w:val="18"/>
              </w:rPr>
              <w:t>6,75</w:t>
            </w:r>
            <w:r w:rsidR="00067705" w:rsidRPr="0010395A">
              <w:rPr>
                <w:rFonts w:cs="Arial"/>
                <w:b/>
                <w:sz w:val="18"/>
                <w:szCs w:val="18"/>
              </w:rPr>
              <w:t>0</w:t>
            </w:r>
          </w:p>
        </w:tc>
        <w:tc>
          <w:tcPr>
            <w:tcW w:w="660" w:type="pct"/>
            <w:vAlign w:val="bottom"/>
          </w:tcPr>
          <w:p w:rsidR="00EB2F39" w:rsidRPr="0010395A" w:rsidRDefault="00210B50" w:rsidP="00704CC0">
            <w:pPr>
              <w:keepNext/>
              <w:keepLines/>
              <w:tabs>
                <w:tab w:val="left" w:pos="567"/>
                <w:tab w:val="left" w:pos="1134"/>
                <w:tab w:val="left" w:pos="1701"/>
                <w:tab w:val="left" w:pos="2268"/>
              </w:tabs>
              <w:jc w:val="right"/>
              <w:rPr>
                <w:rFonts w:cs="Arial"/>
                <w:b/>
                <w:sz w:val="18"/>
                <w:szCs w:val="18"/>
                <w:highlight w:val="yellow"/>
              </w:rPr>
            </w:pPr>
            <w:r w:rsidRPr="0010395A">
              <w:rPr>
                <w:rFonts w:cs="Arial"/>
                <w:b/>
                <w:sz w:val="18"/>
                <w:szCs w:val="18"/>
              </w:rPr>
              <w:t>-</w:t>
            </w:r>
          </w:p>
        </w:tc>
        <w:tc>
          <w:tcPr>
            <w:tcW w:w="660" w:type="pct"/>
            <w:vAlign w:val="bottom"/>
          </w:tcPr>
          <w:p w:rsidR="00EB2F39" w:rsidRPr="0010395A" w:rsidRDefault="00EB2F39" w:rsidP="00704CC0">
            <w:pPr>
              <w:keepNext/>
              <w:keepLines/>
              <w:tabs>
                <w:tab w:val="left" w:pos="567"/>
                <w:tab w:val="left" w:pos="1134"/>
                <w:tab w:val="left" w:pos="1701"/>
                <w:tab w:val="left" w:pos="2268"/>
              </w:tabs>
              <w:jc w:val="right"/>
              <w:rPr>
                <w:rFonts w:cs="Arial"/>
                <w:sz w:val="18"/>
                <w:szCs w:val="18"/>
              </w:rPr>
            </w:pPr>
            <w:r w:rsidRPr="0010395A">
              <w:rPr>
                <w:rFonts w:cs="Arial"/>
                <w:sz w:val="18"/>
                <w:szCs w:val="18"/>
              </w:rPr>
              <w:t>17,475</w:t>
            </w:r>
          </w:p>
        </w:tc>
        <w:tc>
          <w:tcPr>
            <w:tcW w:w="659" w:type="pct"/>
            <w:vAlign w:val="bottom"/>
          </w:tcPr>
          <w:p w:rsidR="00EB2F39" w:rsidRPr="0010395A" w:rsidRDefault="00EB2F39" w:rsidP="00704CC0">
            <w:pPr>
              <w:keepNext/>
              <w:keepLines/>
              <w:tabs>
                <w:tab w:val="left" w:pos="567"/>
                <w:tab w:val="left" w:pos="1134"/>
                <w:tab w:val="left" w:pos="1701"/>
                <w:tab w:val="left" w:pos="2268"/>
              </w:tabs>
              <w:jc w:val="right"/>
              <w:rPr>
                <w:rFonts w:cs="Arial"/>
                <w:sz w:val="18"/>
                <w:szCs w:val="18"/>
                <w:highlight w:val="yellow"/>
              </w:rPr>
            </w:pPr>
            <w:r w:rsidRPr="0010395A">
              <w:rPr>
                <w:rFonts w:cs="Arial"/>
                <w:sz w:val="18"/>
                <w:szCs w:val="18"/>
              </w:rPr>
              <w:t>-</w:t>
            </w:r>
          </w:p>
        </w:tc>
      </w:tr>
      <w:tr w:rsidR="00EB2F39" w:rsidRPr="00A76890" w:rsidTr="00562F9C">
        <w:trPr>
          <w:cantSplit/>
          <w:trHeight w:val="20"/>
        </w:trPr>
        <w:tc>
          <w:tcPr>
            <w:tcW w:w="1907" w:type="pct"/>
          </w:tcPr>
          <w:p w:rsidR="00EB2F39" w:rsidRPr="0010395A" w:rsidRDefault="00EB2F39" w:rsidP="00704CC0">
            <w:pPr>
              <w:keepNext/>
              <w:keepLines/>
              <w:tabs>
                <w:tab w:val="left" w:pos="567"/>
                <w:tab w:val="left" w:pos="1134"/>
                <w:tab w:val="left" w:pos="1701"/>
                <w:tab w:val="left" w:pos="2268"/>
              </w:tabs>
              <w:ind w:left="567"/>
              <w:rPr>
                <w:rFonts w:cs="Arial"/>
                <w:sz w:val="18"/>
                <w:szCs w:val="18"/>
              </w:rPr>
            </w:pPr>
            <w:r w:rsidRPr="0010395A">
              <w:rPr>
                <w:rFonts w:cs="Arial"/>
                <w:sz w:val="18"/>
                <w:szCs w:val="18"/>
              </w:rPr>
              <w:t>Loans and  receivables</w:t>
            </w:r>
          </w:p>
        </w:tc>
        <w:tc>
          <w:tcPr>
            <w:tcW w:w="454" w:type="pct"/>
            <w:vAlign w:val="bottom"/>
          </w:tcPr>
          <w:p w:rsidR="00EB2F39" w:rsidRPr="0010395A" w:rsidRDefault="00EB2F39" w:rsidP="00704CC0">
            <w:pPr>
              <w:keepNext/>
              <w:keepLines/>
              <w:tabs>
                <w:tab w:val="left" w:pos="567"/>
                <w:tab w:val="left" w:pos="1134"/>
                <w:tab w:val="left" w:pos="1701"/>
                <w:tab w:val="left" w:pos="2268"/>
              </w:tabs>
              <w:rPr>
                <w:rFonts w:cs="Arial"/>
                <w:b/>
                <w:sz w:val="18"/>
                <w:szCs w:val="18"/>
                <w:highlight w:val="yellow"/>
              </w:rPr>
            </w:pPr>
          </w:p>
        </w:tc>
        <w:tc>
          <w:tcPr>
            <w:tcW w:w="660" w:type="pct"/>
            <w:vAlign w:val="bottom"/>
          </w:tcPr>
          <w:p w:rsidR="00EB2F39" w:rsidRPr="0010395A" w:rsidRDefault="00EB2F39" w:rsidP="00704CC0">
            <w:pPr>
              <w:keepNext/>
              <w:keepLines/>
              <w:tabs>
                <w:tab w:val="left" w:pos="567"/>
                <w:tab w:val="left" w:pos="1134"/>
                <w:tab w:val="left" w:pos="1701"/>
                <w:tab w:val="left" w:pos="2268"/>
              </w:tabs>
              <w:jc w:val="right"/>
              <w:rPr>
                <w:rFonts w:cs="Arial"/>
                <w:b/>
                <w:sz w:val="18"/>
                <w:szCs w:val="18"/>
              </w:rPr>
            </w:pPr>
          </w:p>
        </w:tc>
        <w:tc>
          <w:tcPr>
            <w:tcW w:w="660" w:type="pct"/>
            <w:vAlign w:val="bottom"/>
          </w:tcPr>
          <w:p w:rsidR="00EB2F39" w:rsidRPr="0010395A" w:rsidRDefault="00EB2F39" w:rsidP="00704CC0">
            <w:pPr>
              <w:keepNext/>
              <w:keepLines/>
              <w:tabs>
                <w:tab w:val="left" w:pos="567"/>
                <w:tab w:val="left" w:pos="1134"/>
                <w:tab w:val="left" w:pos="1701"/>
                <w:tab w:val="left" w:pos="2268"/>
              </w:tabs>
              <w:jc w:val="right"/>
              <w:rPr>
                <w:rFonts w:cs="Arial"/>
                <w:b/>
                <w:sz w:val="18"/>
                <w:szCs w:val="18"/>
              </w:rPr>
            </w:pPr>
          </w:p>
        </w:tc>
        <w:tc>
          <w:tcPr>
            <w:tcW w:w="660" w:type="pct"/>
            <w:vAlign w:val="bottom"/>
          </w:tcPr>
          <w:p w:rsidR="00EB2F39" w:rsidRPr="0010395A" w:rsidRDefault="00EB2F39" w:rsidP="00704CC0">
            <w:pPr>
              <w:keepNext/>
              <w:keepLines/>
              <w:tabs>
                <w:tab w:val="left" w:pos="567"/>
                <w:tab w:val="left" w:pos="1134"/>
                <w:tab w:val="left" w:pos="1701"/>
                <w:tab w:val="left" w:pos="2268"/>
              </w:tabs>
              <w:jc w:val="right"/>
              <w:rPr>
                <w:rFonts w:cs="Arial"/>
                <w:sz w:val="18"/>
                <w:szCs w:val="18"/>
              </w:rPr>
            </w:pPr>
          </w:p>
        </w:tc>
        <w:tc>
          <w:tcPr>
            <w:tcW w:w="659" w:type="pct"/>
            <w:vAlign w:val="bottom"/>
          </w:tcPr>
          <w:p w:rsidR="00EB2F39" w:rsidRPr="0010395A" w:rsidRDefault="00EB2F39" w:rsidP="00704CC0">
            <w:pPr>
              <w:keepNext/>
              <w:keepLines/>
              <w:tabs>
                <w:tab w:val="left" w:pos="567"/>
                <w:tab w:val="left" w:pos="1134"/>
                <w:tab w:val="left" w:pos="1701"/>
                <w:tab w:val="left" w:pos="2268"/>
              </w:tabs>
              <w:jc w:val="right"/>
              <w:rPr>
                <w:rFonts w:cs="Arial"/>
                <w:sz w:val="18"/>
                <w:szCs w:val="18"/>
              </w:rPr>
            </w:pPr>
          </w:p>
        </w:tc>
      </w:tr>
      <w:tr w:rsidR="00EB2F39" w:rsidRPr="00A76890" w:rsidTr="00562F9C">
        <w:trPr>
          <w:cantSplit/>
          <w:trHeight w:val="20"/>
        </w:trPr>
        <w:tc>
          <w:tcPr>
            <w:tcW w:w="1907" w:type="pct"/>
          </w:tcPr>
          <w:p w:rsidR="00EB2F39" w:rsidRPr="0010395A" w:rsidRDefault="00EB2F39" w:rsidP="00704CC0">
            <w:pPr>
              <w:keepNext/>
              <w:keepLines/>
              <w:numPr>
                <w:ilvl w:val="0"/>
                <w:numId w:val="18"/>
              </w:numPr>
              <w:tabs>
                <w:tab w:val="left" w:pos="567"/>
                <w:tab w:val="left" w:pos="1134"/>
                <w:tab w:val="left" w:pos="1701"/>
                <w:tab w:val="left" w:pos="2268"/>
              </w:tabs>
              <w:ind w:left="993" w:hanging="284"/>
              <w:rPr>
                <w:rFonts w:cs="Arial"/>
                <w:sz w:val="18"/>
                <w:szCs w:val="18"/>
              </w:rPr>
            </w:pPr>
            <w:r w:rsidRPr="0010395A">
              <w:rPr>
                <w:rFonts w:cs="Arial"/>
                <w:sz w:val="18"/>
                <w:szCs w:val="18"/>
              </w:rPr>
              <w:t>Loan to subsidiaries</w:t>
            </w:r>
          </w:p>
        </w:tc>
        <w:tc>
          <w:tcPr>
            <w:tcW w:w="454" w:type="pct"/>
            <w:vAlign w:val="bottom"/>
          </w:tcPr>
          <w:p w:rsidR="00EB2F39" w:rsidRPr="0010395A" w:rsidRDefault="00EB2F39" w:rsidP="00704CC0">
            <w:pPr>
              <w:keepNext/>
              <w:keepLines/>
              <w:tabs>
                <w:tab w:val="left" w:pos="567"/>
                <w:tab w:val="left" w:pos="1134"/>
                <w:tab w:val="left" w:pos="1701"/>
                <w:tab w:val="left" w:pos="2268"/>
              </w:tabs>
              <w:rPr>
                <w:rFonts w:cs="Arial"/>
                <w:sz w:val="18"/>
                <w:szCs w:val="18"/>
              </w:rPr>
            </w:pPr>
            <w:r w:rsidRPr="0010395A">
              <w:rPr>
                <w:rFonts w:cs="Arial"/>
                <w:sz w:val="18"/>
                <w:szCs w:val="18"/>
              </w:rPr>
              <w:t>13</w:t>
            </w:r>
          </w:p>
        </w:tc>
        <w:tc>
          <w:tcPr>
            <w:tcW w:w="660" w:type="pct"/>
            <w:vAlign w:val="bottom"/>
          </w:tcPr>
          <w:p w:rsidR="00EB2F39" w:rsidRPr="0010395A" w:rsidRDefault="00210B50" w:rsidP="00704CC0">
            <w:pPr>
              <w:keepNext/>
              <w:keepLines/>
              <w:tabs>
                <w:tab w:val="left" w:pos="567"/>
                <w:tab w:val="left" w:pos="1134"/>
                <w:tab w:val="left" w:pos="1701"/>
                <w:tab w:val="left" w:pos="2268"/>
              </w:tabs>
              <w:jc w:val="right"/>
              <w:rPr>
                <w:rFonts w:cs="Arial"/>
                <w:b/>
                <w:sz w:val="18"/>
                <w:szCs w:val="18"/>
              </w:rPr>
            </w:pPr>
            <w:r w:rsidRPr="0010395A">
              <w:rPr>
                <w:rFonts w:cs="Arial"/>
                <w:b/>
                <w:sz w:val="18"/>
                <w:szCs w:val="18"/>
              </w:rPr>
              <w:t>-</w:t>
            </w:r>
          </w:p>
        </w:tc>
        <w:tc>
          <w:tcPr>
            <w:tcW w:w="660" w:type="pct"/>
            <w:vAlign w:val="bottom"/>
          </w:tcPr>
          <w:p w:rsidR="00EB2F39" w:rsidRPr="0010395A" w:rsidRDefault="007B789B" w:rsidP="00704CC0">
            <w:pPr>
              <w:keepNext/>
              <w:keepLines/>
              <w:tabs>
                <w:tab w:val="left" w:pos="567"/>
                <w:tab w:val="left" w:pos="1134"/>
                <w:tab w:val="left" w:pos="1701"/>
                <w:tab w:val="left" w:pos="2268"/>
              </w:tabs>
              <w:jc w:val="right"/>
              <w:rPr>
                <w:rFonts w:cs="Arial"/>
                <w:b/>
                <w:sz w:val="18"/>
                <w:szCs w:val="18"/>
              </w:rPr>
            </w:pPr>
            <w:r w:rsidRPr="0010395A">
              <w:rPr>
                <w:rFonts w:cs="Arial"/>
                <w:b/>
                <w:sz w:val="18"/>
                <w:szCs w:val="18"/>
              </w:rPr>
              <w:t>5,047</w:t>
            </w:r>
          </w:p>
        </w:tc>
        <w:tc>
          <w:tcPr>
            <w:tcW w:w="660" w:type="pct"/>
            <w:vAlign w:val="bottom"/>
          </w:tcPr>
          <w:p w:rsidR="00EB2F39" w:rsidRPr="0010395A" w:rsidRDefault="00EB2F39" w:rsidP="00704CC0">
            <w:pPr>
              <w:keepNext/>
              <w:keepLines/>
              <w:tabs>
                <w:tab w:val="left" w:pos="567"/>
                <w:tab w:val="left" w:pos="1134"/>
                <w:tab w:val="left" w:pos="1701"/>
                <w:tab w:val="left" w:pos="2268"/>
              </w:tabs>
              <w:jc w:val="right"/>
              <w:rPr>
                <w:rFonts w:cs="Arial"/>
                <w:sz w:val="18"/>
                <w:szCs w:val="18"/>
              </w:rPr>
            </w:pPr>
            <w:r w:rsidRPr="0010395A">
              <w:rPr>
                <w:rFonts w:cs="Arial"/>
                <w:sz w:val="18"/>
                <w:szCs w:val="18"/>
              </w:rPr>
              <w:t>-</w:t>
            </w:r>
          </w:p>
        </w:tc>
        <w:tc>
          <w:tcPr>
            <w:tcW w:w="659" w:type="pct"/>
            <w:vAlign w:val="bottom"/>
          </w:tcPr>
          <w:p w:rsidR="00EB2F39" w:rsidRPr="0010395A" w:rsidRDefault="00EB2F39" w:rsidP="00704CC0">
            <w:pPr>
              <w:keepNext/>
              <w:keepLines/>
              <w:tabs>
                <w:tab w:val="left" w:pos="567"/>
                <w:tab w:val="left" w:pos="1134"/>
                <w:tab w:val="left" w:pos="1701"/>
                <w:tab w:val="left" w:pos="2268"/>
              </w:tabs>
              <w:jc w:val="right"/>
              <w:rPr>
                <w:rFonts w:cs="Arial"/>
                <w:sz w:val="18"/>
                <w:szCs w:val="18"/>
              </w:rPr>
            </w:pPr>
            <w:r w:rsidRPr="0010395A">
              <w:rPr>
                <w:rFonts w:cs="Arial"/>
                <w:sz w:val="18"/>
                <w:szCs w:val="18"/>
              </w:rPr>
              <w:t>12,768</w:t>
            </w:r>
          </w:p>
        </w:tc>
      </w:tr>
      <w:tr w:rsidR="00EB2F39" w:rsidRPr="00A76890" w:rsidTr="00562F9C">
        <w:trPr>
          <w:cantSplit/>
          <w:trHeight w:val="20"/>
        </w:trPr>
        <w:tc>
          <w:tcPr>
            <w:tcW w:w="1907" w:type="pct"/>
          </w:tcPr>
          <w:p w:rsidR="00EB2F39" w:rsidRPr="0010395A" w:rsidRDefault="00EB2F39" w:rsidP="00704CC0">
            <w:pPr>
              <w:keepNext/>
              <w:keepLines/>
              <w:numPr>
                <w:ilvl w:val="0"/>
                <w:numId w:val="18"/>
              </w:numPr>
              <w:tabs>
                <w:tab w:val="left" w:pos="567"/>
                <w:tab w:val="left" w:pos="1134"/>
                <w:tab w:val="left" w:pos="1701"/>
                <w:tab w:val="left" w:pos="2268"/>
              </w:tabs>
              <w:ind w:left="993" w:hanging="284"/>
              <w:rPr>
                <w:rFonts w:cs="Arial"/>
                <w:sz w:val="18"/>
                <w:szCs w:val="18"/>
              </w:rPr>
            </w:pPr>
            <w:r w:rsidRPr="0010395A">
              <w:rPr>
                <w:rFonts w:cs="Arial"/>
                <w:sz w:val="18"/>
                <w:szCs w:val="18"/>
              </w:rPr>
              <w:t>Receivables</w:t>
            </w:r>
          </w:p>
        </w:tc>
        <w:tc>
          <w:tcPr>
            <w:tcW w:w="454" w:type="pct"/>
            <w:vAlign w:val="bottom"/>
          </w:tcPr>
          <w:p w:rsidR="00EB2F39" w:rsidRPr="0010395A" w:rsidRDefault="00EB2F39" w:rsidP="00704CC0">
            <w:pPr>
              <w:keepNext/>
              <w:keepLines/>
              <w:tabs>
                <w:tab w:val="left" w:pos="567"/>
                <w:tab w:val="left" w:pos="1134"/>
                <w:tab w:val="left" w:pos="1701"/>
                <w:tab w:val="left" w:pos="2268"/>
              </w:tabs>
              <w:rPr>
                <w:rFonts w:cs="Arial"/>
                <w:sz w:val="18"/>
                <w:szCs w:val="18"/>
              </w:rPr>
            </w:pPr>
            <w:r w:rsidRPr="0010395A">
              <w:rPr>
                <w:rFonts w:cs="Arial"/>
                <w:sz w:val="18"/>
                <w:szCs w:val="18"/>
              </w:rPr>
              <w:t>15</w:t>
            </w:r>
          </w:p>
        </w:tc>
        <w:tc>
          <w:tcPr>
            <w:tcW w:w="660" w:type="pct"/>
            <w:vAlign w:val="bottom"/>
          </w:tcPr>
          <w:p w:rsidR="00EB2F39" w:rsidRPr="0010395A" w:rsidRDefault="00210B50" w:rsidP="00704CC0">
            <w:pPr>
              <w:keepNext/>
              <w:keepLines/>
              <w:tabs>
                <w:tab w:val="left" w:pos="567"/>
                <w:tab w:val="left" w:pos="1134"/>
                <w:tab w:val="left" w:pos="1701"/>
                <w:tab w:val="left" w:pos="2268"/>
              </w:tabs>
              <w:jc w:val="right"/>
              <w:rPr>
                <w:rFonts w:cs="Arial"/>
                <w:b/>
                <w:sz w:val="18"/>
                <w:szCs w:val="18"/>
              </w:rPr>
            </w:pPr>
            <w:r w:rsidRPr="0010395A">
              <w:rPr>
                <w:rFonts w:cs="Arial"/>
                <w:b/>
                <w:sz w:val="18"/>
                <w:szCs w:val="18"/>
              </w:rPr>
              <w:t>-</w:t>
            </w:r>
          </w:p>
        </w:tc>
        <w:tc>
          <w:tcPr>
            <w:tcW w:w="660" w:type="pct"/>
            <w:vAlign w:val="bottom"/>
          </w:tcPr>
          <w:p w:rsidR="00EB2F39" w:rsidRPr="0010395A" w:rsidRDefault="00210B50" w:rsidP="00704CC0">
            <w:pPr>
              <w:keepNext/>
              <w:keepLines/>
              <w:tabs>
                <w:tab w:val="left" w:pos="567"/>
                <w:tab w:val="left" w:pos="1134"/>
                <w:tab w:val="left" w:pos="1701"/>
                <w:tab w:val="left" w:pos="2268"/>
              </w:tabs>
              <w:jc w:val="right"/>
              <w:rPr>
                <w:rFonts w:cs="Arial"/>
                <w:b/>
                <w:sz w:val="18"/>
                <w:szCs w:val="18"/>
              </w:rPr>
            </w:pPr>
            <w:r w:rsidRPr="0010395A">
              <w:rPr>
                <w:rFonts w:cs="Arial"/>
                <w:b/>
                <w:sz w:val="18"/>
                <w:szCs w:val="18"/>
              </w:rPr>
              <w:t>-</w:t>
            </w:r>
          </w:p>
        </w:tc>
        <w:tc>
          <w:tcPr>
            <w:tcW w:w="660" w:type="pct"/>
            <w:vAlign w:val="bottom"/>
          </w:tcPr>
          <w:p w:rsidR="00EB2F39" w:rsidRPr="0010395A" w:rsidRDefault="00EB2F39" w:rsidP="00704CC0">
            <w:pPr>
              <w:keepNext/>
              <w:keepLines/>
              <w:tabs>
                <w:tab w:val="left" w:pos="567"/>
                <w:tab w:val="left" w:pos="1134"/>
                <w:tab w:val="left" w:pos="1701"/>
                <w:tab w:val="left" w:pos="2268"/>
              </w:tabs>
              <w:jc w:val="right"/>
              <w:rPr>
                <w:rFonts w:cs="Arial"/>
                <w:sz w:val="18"/>
                <w:szCs w:val="18"/>
              </w:rPr>
            </w:pPr>
            <w:r w:rsidRPr="0010395A">
              <w:rPr>
                <w:rFonts w:cs="Arial"/>
                <w:sz w:val="18"/>
                <w:szCs w:val="18"/>
              </w:rPr>
              <w:t>76</w:t>
            </w:r>
          </w:p>
        </w:tc>
        <w:tc>
          <w:tcPr>
            <w:tcW w:w="659" w:type="pct"/>
            <w:vAlign w:val="bottom"/>
          </w:tcPr>
          <w:p w:rsidR="00EB2F39" w:rsidRPr="0010395A" w:rsidRDefault="00EB2F39" w:rsidP="00704CC0">
            <w:pPr>
              <w:keepNext/>
              <w:keepLines/>
              <w:tabs>
                <w:tab w:val="left" w:pos="567"/>
                <w:tab w:val="left" w:pos="1134"/>
                <w:tab w:val="left" w:pos="1701"/>
                <w:tab w:val="left" w:pos="2268"/>
              </w:tabs>
              <w:jc w:val="right"/>
              <w:rPr>
                <w:rFonts w:cs="Arial"/>
                <w:sz w:val="18"/>
                <w:szCs w:val="18"/>
              </w:rPr>
            </w:pPr>
            <w:r w:rsidRPr="0010395A">
              <w:rPr>
                <w:rFonts w:cs="Arial"/>
                <w:sz w:val="18"/>
                <w:szCs w:val="18"/>
              </w:rPr>
              <w:t>1</w:t>
            </w:r>
          </w:p>
        </w:tc>
      </w:tr>
      <w:tr w:rsidR="00EB2F39" w:rsidRPr="00A76890" w:rsidTr="00562F9C">
        <w:trPr>
          <w:cantSplit/>
          <w:trHeight w:val="20"/>
        </w:trPr>
        <w:tc>
          <w:tcPr>
            <w:tcW w:w="1907" w:type="pct"/>
          </w:tcPr>
          <w:p w:rsidR="00EB2F39" w:rsidRPr="0010395A" w:rsidDel="00DD7D71" w:rsidRDefault="00EB2F39" w:rsidP="00704CC0">
            <w:pPr>
              <w:keepNext/>
              <w:keepLines/>
              <w:numPr>
                <w:ilvl w:val="0"/>
                <w:numId w:val="18"/>
              </w:numPr>
              <w:tabs>
                <w:tab w:val="left" w:pos="567"/>
                <w:tab w:val="left" w:pos="1134"/>
                <w:tab w:val="left" w:pos="1701"/>
                <w:tab w:val="left" w:pos="2268"/>
              </w:tabs>
              <w:ind w:left="993" w:hanging="284"/>
              <w:rPr>
                <w:rFonts w:cs="Arial"/>
                <w:sz w:val="18"/>
                <w:szCs w:val="18"/>
              </w:rPr>
            </w:pPr>
            <w:r w:rsidRPr="0010395A">
              <w:rPr>
                <w:rFonts w:cs="Arial"/>
                <w:sz w:val="18"/>
                <w:szCs w:val="18"/>
              </w:rPr>
              <w:t>Cash and cash equivalents</w:t>
            </w:r>
          </w:p>
        </w:tc>
        <w:tc>
          <w:tcPr>
            <w:tcW w:w="454" w:type="pct"/>
            <w:vAlign w:val="bottom"/>
          </w:tcPr>
          <w:p w:rsidR="00EB2F39" w:rsidRPr="0010395A" w:rsidDel="00DD7D71" w:rsidRDefault="00EB2F39" w:rsidP="00704CC0">
            <w:pPr>
              <w:keepNext/>
              <w:keepLines/>
              <w:tabs>
                <w:tab w:val="left" w:pos="567"/>
                <w:tab w:val="left" w:pos="1134"/>
                <w:tab w:val="left" w:pos="1701"/>
                <w:tab w:val="left" w:pos="2268"/>
              </w:tabs>
              <w:rPr>
                <w:rFonts w:cs="Arial"/>
                <w:sz w:val="18"/>
                <w:szCs w:val="18"/>
              </w:rPr>
            </w:pPr>
            <w:r w:rsidRPr="0010395A">
              <w:rPr>
                <w:rFonts w:cs="Arial"/>
                <w:sz w:val="18"/>
                <w:szCs w:val="18"/>
              </w:rPr>
              <w:t>16</w:t>
            </w:r>
          </w:p>
        </w:tc>
        <w:tc>
          <w:tcPr>
            <w:tcW w:w="660" w:type="pct"/>
            <w:vAlign w:val="bottom"/>
          </w:tcPr>
          <w:p w:rsidR="00EB2F39" w:rsidRPr="0010395A" w:rsidRDefault="00210B50" w:rsidP="00704CC0">
            <w:pPr>
              <w:keepNext/>
              <w:keepLines/>
              <w:tabs>
                <w:tab w:val="left" w:pos="567"/>
                <w:tab w:val="left" w:pos="1134"/>
                <w:tab w:val="left" w:pos="1701"/>
                <w:tab w:val="left" w:pos="2268"/>
              </w:tabs>
              <w:jc w:val="right"/>
              <w:rPr>
                <w:rFonts w:cs="Arial"/>
                <w:b/>
                <w:sz w:val="18"/>
                <w:szCs w:val="18"/>
              </w:rPr>
            </w:pPr>
            <w:r w:rsidRPr="0010395A">
              <w:rPr>
                <w:rFonts w:cs="Arial"/>
                <w:b/>
                <w:sz w:val="18"/>
                <w:szCs w:val="18"/>
              </w:rPr>
              <w:t>1,472</w:t>
            </w:r>
          </w:p>
        </w:tc>
        <w:tc>
          <w:tcPr>
            <w:tcW w:w="660" w:type="pct"/>
            <w:vAlign w:val="bottom"/>
          </w:tcPr>
          <w:p w:rsidR="00EB2F39" w:rsidRPr="0010395A" w:rsidRDefault="00210B50" w:rsidP="00704CC0">
            <w:pPr>
              <w:keepNext/>
              <w:keepLines/>
              <w:tabs>
                <w:tab w:val="left" w:pos="567"/>
                <w:tab w:val="left" w:pos="1134"/>
                <w:tab w:val="left" w:pos="1701"/>
                <w:tab w:val="left" w:pos="2268"/>
              </w:tabs>
              <w:jc w:val="right"/>
              <w:rPr>
                <w:rFonts w:cs="Arial"/>
                <w:b/>
                <w:sz w:val="18"/>
                <w:szCs w:val="18"/>
              </w:rPr>
            </w:pPr>
            <w:r w:rsidRPr="0010395A">
              <w:rPr>
                <w:rFonts w:cs="Arial"/>
                <w:b/>
                <w:sz w:val="18"/>
                <w:szCs w:val="18"/>
              </w:rPr>
              <w:t>815</w:t>
            </w:r>
          </w:p>
        </w:tc>
        <w:tc>
          <w:tcPr>
            <w:tcW w:w="660" w:type="pct"/>
            <w:vAlign w:val="bottom"/>
          </w:tcPr>
          <w:p w:rsidR="00EB2F39" w:rsidRPr="0010395A" w:rsidRDefault="00EB2F39" w:rsidP="00704CC0">
            <w:pPr>
              <w:keepNext/>
              <w:keepLines/>
              <w:tabs>
                <w:tab w:val="left" w:pos="567"/>
                <w:tab w:val="left" w:pos="1134"/>
                <w:tab w:val="left" w:pos="1701"/>
                <w:tab w:val="left" w:pos="2268"/>
              </w:tabs>
              <w:jc w:val="right"/>
              <w:rPr>
                <w:rFonts w:cs="Arial"/>
                <w:sz w:val="18"/>
                <w:szCs w:val="18"/>
              </w:rPr>
            </w:pPr>
            <w:r w:rsidRPr="0010395A">
              <w:rPr>
                <w:rFonts w:cs="Arial"/>
                <w:sz w:val="18"/>
                <w:szCs w:val="18"/>
              </w:rPr>
              <w:t>3,776</w:t>
            </w:r>
          </w:p>
        </w:tc>
        <w:tc>
          <w:tcPr>
            <w:tcW w:w="659" w:type="pct"/>
            <w:vAlign w:val="bottom"/>
          </w:tcPr>
          <w:p w:rsidR="00EB2F39" w:rsidRPr="0010395A" w:rsidRDefault="00EB2F39" w:rsidP="00704CC0">
            <w:pPr>
              <w:keepNext/>
              <w:keepLines/>
              <w:tabs>
                <w:tab w:val="left" w:pos="567"/>
                <w:tab w:val="left" w:pos="1134"/>
                <w:tab w:val="left" w:pos="1701"/>
                <w:tab w:val="left" w:pos="2268"/>
              </w:tabs>
              <w:jc w:val="right"/>
              <w:rPr>
                <w:rFonts w:cs="Arial"/>
                <w:sz w:val="18"/>
                <w:szCs w:val="18"/>
              </w:rPr>
            </w:pPr>
            <w:r w:rsidRPr="0010395A">
              <w:rPr>
                <w:rFonts w:cs="Arial"/>
                <w:sz w:val="18"/>
                <w:szCs w:val="18"/>
              </w:rPr>
              <w:t>2,497</w:t>
            </w:r>
          </w:p>
        </w:tc>
      </w:tr>
      <w:tr w:rsidR="0010395A" w:rsidRPr="00A76890" w:rsidTr="00562F9C">
        <w:trPr>
          <w:cantSplit/>
          <w:trHeight w:val="20"/>
        </w:trPr>
        <w:tc>
          <w:tcPr>
            <w:tcW w:w="1907" w:type="pct"/>
          </w:tcPr>
          <w:p w:rsidR="0010395A" w:rsidRPr="0010395A" w:rsidRDefault="0010395A" w:rsidP="00704CC0">
            <w:pPr>
              <w:tabs>
                <w:tab w:val="left" w:pos="567"/>
                <w:tab w:val="left" w:pos="1134"/>
                <w:tab w:val="left" w:pos="1701"/>
                <w:tab w:val="left" w:pos="2268"/>
              </w:tabs>
              <w:rPr>
                <w:rFonts w:cs="Arial"/>
                <w:b/>
                <w:sz w:val="18"/>
                <w:szCs w:val="18"/>
              </w:rPr>
            </w:pPr>
          </w:p>
        </w:tc>
        <w:tc>
          <w:tcPr>
            <w:tcW w:w="454" w:type="pct"/>
            <w:vAlign w:val="center"/>
          </w:tcPr>
          <w:p w:rsidR="0010395A" w:rsidRPr="0010395A" w:rsidRDefault="0010395A" w:rsidP="00704CC0">
            <w:pPr>
              <w:tabs>
                <w:tab w:val="left" w:pos="567"/>
                <w:tab w:val="left" w:pos="1134"/>
                <w:tab w:val="left" w:pos="1701"/>
                <w:tab w:val="left" w:pos="2268"/>
              </w:tabs>
              <w:rPr>
                <w:rFonts w:cs="Arial"/>
                <w:b/>
                <w:sz w:val="18"/>
                <w:szCs w:val="18"/>
              </w:rPr>
            </w:pPr>
          </w:p>
        </w:tc>
        <w:tc>
          <w:tcPr>
            <w:tcW w:w="660" w:type="pct"/>
            <w:tcBorders>
              <w:top w:val="single" w:sz="4" w:space="0" w:color="auto"/>
              <w:bottom w:val="single" w:sz="4" w:space="0" w:color="auto"/>
            </w:tcBorders>
            <w:vAlign w:val="bottom"/>
          </w:tcPr>
          <w:p w:rsidR="0010395A" w:rsidRPr="0010395A" w:rsidRDefault="0010395A" w:rsidP="00704CC0">
            <w:pPr>
              <w:tabs>
                <w:tab w:val="left" w:pos="567"/>
                <w:tab w:val="left" w:pos="1134"/>
                <w:tab w:val="left" w:pos="1701"/>
                <w:tab w:val="left" w:pos="2268"/>
              </w:tabs>
              <w:jc w:val="right"/>
              <w:rPr>
                <w:rFonts w:cs="Arial"/>
                <w:b/>
                <w:sz w:val="18"/>
                <w:szCs w:val="18"/>
              </w:rPr>
            </w:pPr>
            <w:r w:rsidRPr="0010395A">
              <w:rPr>
                <w:rFonts w:cs="Arial"/>
                <w:b/>
                <w:sz w:val="18"/>
                <w:szCs w:val="18"/>
              </w:rPr>
              <w:t>8,222</w:t>
            </w:r>
          </w:p>
        </w:tc>
        <w:tc>
          <w:tcPr>
            <w:tcW w:w="660" w:type="pct"/>
            <w:tcBorders>
              <w:top w:val="single" w:sz="4" w:space="0" w:color="auto"/>
              <w:bottom w:val="single" w:sz="4" w:space="0" w:color="auto"/>
            </w:tcBorders>
            <w:vAlign w:val="bottom"/>
          </w:tcPr>
          <w:p w:rsidR="0010395A" w:rsidRPr="0010395A" w:rsidRDefault="0010395A" w:rsidP="00704CC0">
            <w:pPr>
              <w:tabs>
                <w:tab w:val="left" w:pos="567"/>
                <w:tab w:val="left" w:pos="1134"/>
                <w:tab w:val="left" w:pos="1701"/>
                <w:tab w:val="left" w:pos="2268"/>
              </w:tabs>
              <w:jc w:val="right"/>
              <w:rPr>
                <w:rFonts w:cs="Arial"/>
                <w:b/>
                <w:sz w:val="18"/>
                <w:szCs w:val="18"/>
              </w:rPr>
            </w:pPr>
            <w:r w:rsidRPr="0010395A">
              <w:rPr>
                <w:rFonts w:cs="Arial"/>
                <w:b/>
                <w:sz w:val="18"/>
                <w:szCs w:val="18"/>
              </w:rPr>
              <w:t>5,862</w:t>
            </w:r>
          </w:p>
        </w:tc>
        <w:tc>
          <w:tcPr>
            <w:tcW w:w="660" w:type="pct"/>
            <w:tcBorders>
              <w:top w:val="single" w:sz="4" w:space="0" w:color="auto"/>
              <w:bottom w:val="single" w:sz="4" w:space="0" w:color="auto"/>
            </w:tcBorders>
            <w:vAlign w:val="bottom"/>
          </w:tcPr>
          <w:p w:rsidR="0010395A" w:rsidRPr="0010395A" w:rsidRDefault="0010395A" w:rsidP="00704CC0">
            <w:pPr>
              <w:tabs>
                <w:tab w:val="left" w:pos="567"/>
                <w:tab w:val="left" w:pos="1134"/>
                <w:tab w:val="left" w:pos="1701"/>
                <w:tab w:val="left" w:pos="2268"/>
              </w:tabs>
              <w:jc w:val="right"/>
              <w:rPr>
                <w:rFonts w:cs="Arial"/>
                <w:sz w:val="18"/>
                <w:szCs w:val="18"/>
              </w:rPr>
            </w:pPr>
            <w:r w:rsidRPr="0010395A">
              <w:rPr>
                <w:rFonts w:cs="Arial"/>
                <w:sz w:val="18"/>
                <w:szCs w:val="18"/>
              </w:rPr>
              <w:t>21,327</w:t>
            </w:r>
          </w:p>
        </w:tc>
        <w:tc>
          <w:tcPr>
            <w:tcW w:w="659" w:type="pct"/>
            <w:tcBorders>
              <w:top w:val="single" w:sz="4" w:space="0" w:color="auto"/>
              <w:bottom w:val="single" w:sz="4" w:space="0" w:color="auto"/>
            </w:tcBorders>
            <w:vAlign w:val="bottom"/>
          </w:tcPr>
          <w:p w:rsidR="0010395A" w:rsidRPr="0010395A" w:rsidRDefault="0010395A" w:rsidP="00704CC0">
            <w:pPr>
              <w:tabs>
                <w:tab w:val="left" w:pos="567"/>
                <w:tab w:val="left" w:pos="1134"/>
                <w:tab w:val="left" w:pos="1701"/>
                <w:tab w:val="left" w:pos="2268"/>
              </w:tabs>
              <w:jc w:val="right"/>
              <w:rPr>
                <w:rFonts w:cs="Arial"/>
                <w:sz w:val="18"/>
                <w:szCs w:val="18"/>
              </w:rPr>
            </w:pPr>
            <w:r w:rsidRPr="0010395A">
              <w:rPr>
                <w:rFonts w:cs="Arial"/>
                <w:sz w:val="18"/>
                <w:szCs w:val="18"/>
              </w:rPr>
              <w:t>15,266</w:t>
            </w:r>
          </w:p>
        </w:tc>
      </w:tr>
    </w:tbl>
    <w:p w:rsidR="00095C02" w:rsidRPr="00A76890" w:rsidRDefault="004C12F3" w:rsidP="00704CC0">
      <w:pPr>
        <w:pStyle w:val="Normal3-Sub-para"/>
        <w:spacing w:line="240" w:lineRule="auto"/>
        <w:ind w:left="567"/>
      </w:pPr>
      <w:r w:rsidRPr="00A76890">
        <w:t>The loan given to subsidiaries classified as non-current has not been discounted to its present value, as the repayment period is not determinable.</w:t>
      </w:r>
    </w:p>
    <w:p w:rsidR="00924B0F" w:rsidRPr="00A76890" w:rsidRDefault="0092140F" w:rsidP="00704CC0">
      <w:pPr>
        <w:pStyle w:val="Normal3-Sub-para"/>
        <w:spacing w:line="240" w:lineRule="auto"/>
        <w:ind w:left="567"/>
      </w:pPr>
      <w:r w:rsidRPr="00A76890">
        <w:t xml:space="preserve">The above </w:t>
      </w:r>
      <w:r w:rsidR="00A02EFB" w:rsidRPr="00A76890">
        <w:t xml:space="preserve">loans and </w:t>
      </w:r>
      <w:r w:rsidRPr="00A76890">
        <w:t>receivables do not carry any interest income and management considers the fair values to be not materially different from the carrying amounts recognised in the statement of financial position as they are ex</w:t>
      </w:r>
      <w:r w:rsidR="007A76DD" w:rsidRPr="00A76890">
        <w:t xml:space="preserve">pected to be settled within </w:t>
      </w:r>
      <w:r w:rsidRPr="00A76890">
        <w:t>one year.</w:t>
      </w:r>
      <w:r w:rsidR="00095C02" w:rsidRPr="00A76890">
        <w:t xml:space="preserve"> </w:t>
      </w:r>
    </w:p>
    <w:p w:rsidR="0092140F" w:rsidRPr="00A76890" w:rsidRDefault="0092140F" w:rsidP="00704CC0">
      <w:pPr>
        <w:pStyle w:val="Heading3-Sub-para"/>
        <w:ind w:left="567"/>
      </w:pPr>
      <w:r w:rsidRPr="00A76890">
        <w:t>Financial liabilities</w:t>
      </w:r>
    </w:p>
    <w:tbl>
      <w:tblPr>
        <w:tblW w:w="8953" w:type="dxa"/>
        <w:tblLayout w:type="fixed"/>
        <w:tblCellMar>
          <w:top w:w="28" w:type="dxa"/>
          <w:left w:w="57" w:type="dxa"/>
          <w:bottom w:w="28" w:type="dxa"/>
          <w:right w:w="57" w:type="dxa"/>
        </w:tblCellMar>
        <w:tblLook w:val="0000"/>
      </w:tblPr>
      <w:tblGrid>
        <w:gridCol w:w="3469"/>
        <w:gridCol w:w="711"/>
        <w:gridCol w:w="1194"/>
        <w:gridCol w:w="1194"/>
        <w:gridCol w:w="1194"/>
        <w:gridCol w:w="1191"/>
      </w:tblGrid>
      <w:tr w:rsidR="0010395A" w:rsidRPr="00A76890" w:rsidTr="00562F9C">
        <w:trPr>
          <w:trHeight w:val="20"/>
          <w:tblHeader/>
        </w:trPr>
        <w:tc>
          <w:tcPr>
            <w:tcW w:w="1937" w:type="pct"/>
          </w:tcPr>
          <w:p w:rsidR="0010395A" w:rsidRPr="00A25BFD" w:rsidRDefault="0010395A" w:rsidP="00704CC0">
            <w:pPr>
              <w:tabs>
                <w:tab w:val="left" w:pos="567"/>
                <w:tab w:val="left" w:pos="1134"/>
                <w:tab w:val="left" w:pos="1701"/>
                <w:tab w:val="left" w:pos="2268"/>
              </w:tabs>
              <w:autoSpaceDE w:val="0"/>
              <w:autoSpaceDN w:val="0"/>
              <w:adjustRightInd w:val="0"/>
              <w:ind w:left="567"/>
              <w:rPr>
                <w:rFonts w:cs="Arial"/>
                <w:b/>
                <w:bCs/>
                <w:sz w:val="18"/>
                <w:szCs w:val="18"/>
              </w:rPr>
            </w:pPr>
          </w:p>
        </w:tc>
        <w:tc>
          <w:tcPr>
            <w:tcW w:w="397" w:type="pct"/>
            <w:vAlign w:val="bottom"/>
          </w:tcPr>
          <w:p w:rsidR="0010395A" w:rsidRPr="00A25BFD" w:rsidRDefault="0010395A" w:rsidP="00704CC0">
            <w:pPr>
              <w:tabs>
                <w:tab w:val="left" w:pos="567"/>
                <w:tab w:val="left" w:pos="1134"/>
                <w:tab w:val="left" w:pos="1701"/>
                <w:tab w:val="left" w:pos="2268"/>
              </w:tabs>
              <w:rPr>
                <w:rFonts w:cs="Arial"/>
                <w:b/>
                <w:bCs/>
                <w:sz w:val="18"/>
                <w:szCs w:val="18"/>
              </w:rPr>
            </w:pPr>
            <w:r w:rsidRPr="00A25BFD">
              <w:rPr>
                <w:rFonts w:cs="Arial"/>
                <w:b/>
                <w:bCs/>
                <w:sz w:val="18"/>
                <w:szCs w:val="18"/>
              </w:rPr>
              <w:t>Note</w:t>
            </w:r>
          </w:p>
        </w:tc>
        <w:tc>
          <w:tcPr>
            <w:tcW w:w="667" w:type="pct"/>
            <w:vAlign w:val="bottom"/>
          </w:tcPr>
          <w:p w:rsidR="0010395A" w:rsidRPr="00A25BFD" w:rsidRDefault="0010395A" w:rsidP="00704CC0">
            <w:pPr>
              <w:tabs>
                <w:tab w:val="left" w:pos="567"/>
                <w:tab w:val="left" w:pos="1134"/>
                <w:tab w:val="left" w:pos="1701"/>
                <w:tab w:val="left" w:pos="2268"/>
              </w:tabs>
              <w:jc w:val="right"/>
              <w:rPr>
                <w:rFonts w:cs="Arial"/>
                <w:b/>
                <w:sz w:val="18"/>
                <w:szCs w:val="18"/>
              </w:rPr>
            </w:pPr>
            <w:r w:rsidRPr="00A25BFD">
              <w:rPr>
                <w:rFonts w:cs="Arial"/>
                <w:b/>
                <w:sz w:val="18"/>
                <w:szCs w:val="18"/>
              </w:rPr>
              <w:t>Group</w:t>
            </w:r>
          </w:p>
          <w:p w:rsidR="0010395A" w:rsidRPr="00A25BFD" w:rsidRDefault="0010395A" w:rsidP="00704CC0">
            <w:pPr>
              <w:tabs>
                <w:tab w:val="left" w:pos="567"/>
                <w:tab w:val="left" w:pos="1134"/>
                <w:tab w:val="left" w:pos="1701"/>
                <w:tab w:val="left" w:pos="2268"/>
              </w:tabs>
              <w:jc w:val="right"/>
              <w:rPr>
                <w:rFonts w:cs="Arial"/>
                <w:b/>
                <w:sz w:val="18"/>
                <w:szCs w:val="18"/>
              </w:rPr>
            </w:pPr>
            <w:r w:rsidRPr="00A25BFD">
              <w:rPr>
                <w:rFonts w:cs="Arial"/>
                <w:b/>
                <w:sz w:val="18"/>
                <w:szCs w:val="18"/>
              </w:rPr>
              <w:t>2013</w:t>
            </w:r>
          </w:p>
          <w:p w:rsidR="0010395A" w:rsidRPr="00A25BFD" w:rsidRDefault="0010395A" w:rsidP="00704CC0">
            <w:pPr>
              <w:tabs>
                <w:tab w:val="left" w:pos="567"/>
                <w:tab w:val="left" w:pos="1134"/>
                <w:tab w:val="left" w:pos="1701"/>
                <w:tab w:val="left" w:pos="2268"/>
              </w:tabs>
              <w:jc w:val="right"/>
              <w:rPr>
                <w:rFonts w:cs="Arial"/>
                <w:b/>
                <w:sz w:val="18"/>
                <w:szCs w:val="18"/>
              </w:rPr>
            </w:pPr>
            <w:r w:rsidRPr="00A25BFD">
              <w:rPr>
                <w:rFonts w:cs="Arial"/>
                <w:b/>
                <w:bCs/>
                <w:sz w:val="18"/>
                <w:szCs w:val="18"/>
              </w:rPr>
              <w:t>£'000</w:t>
            </w:r>
          </w:p>
        </w:tc>
        <w:tc>
          <w:tcPr>
            <w:tcW w:w="667" w:type="pct"/>
          </w:tcPr>
          <w:p w:rsidR="0010395A" w:rsidRPr="00A25BFD" w:rsidRDefault="0010395A" w:rsidP="00704CC0">
            <w:pPr>
              <w:tabs>
                <w:tab w:val="left" w:pos="567"/>
                <w:tab w:val="left" w:pos="1134"/>
                <w:tab w:val="left" w:pos="1701"/>
                <w:tab w:val="left" w:pos="2268"/>
              </w:tabs>
              <w:jc w:val="right"/>
              <w:rPr>
                <w:rFonts w:cs="Arial"/>
                <w:b/>
                <w:sz w:val="18"/>
                <w:szCs w:val="18"/>
              </w:rPr>
            </w:pPr>
            <w:r w:rsidRPr="00A25BFD">
              <w:rPr>
                <w:rFonts w:cs="Arial"/>
                <w:b/>
                <w:sz w:val="18"/>
                <w:szCs w:val="18"/>
              </w:rPr>
              <w:t>Company</w:t>
            </w:r>
          </w:p>
          <w:p w:rsidR="0010395A" w:rsidRPr="00A25BFD" w:rsidRDefault="0010395A" w:rsidP="00704CC0">
            <w:pPr>
              <w:tabs>
                <w:tab w:val="left" w:pos="567"/>
                <w:tab w:val="left" w:pos="1134"/>
                <w:tab w:val="left" w:pos="1701"/>
                <w:tab w:val="left" w:pos="2268"/>
              </w:tabs>
              <w:jc w:val="right"/>
              <w:rPr>
                <w:rFonts w:cs="Arial"/>
                <w:b/>
                <w:sz w:val="18"/>
                <w:szCs w:val="18"/>
              </w:rPr>
            </w:pPr>
            <w:r w:rsidRPr="00A25BFD">
              <w:rPr>
                <w:rFonts w:cs="Arial"/>
                <w:b/>
                <w:sz w:val="18"/>
                <w:szCs w:val="18"/>
              </w:rPr>
              <w:t>2013</w:t>
            </w:r>
          </w:p>
          <w:p w:rsidR="0010395A" w:rsidRPr="00A25BFD" w:rsidRDefault="0010395A" w:rsidP="00704CC0">
            <w:pPr>
              <w:tabs>
                <w:tab w:val="left" w:pos="567"/>
                <w:tab w:val="left" w:pos="1134"/>
                <w:tab w:val="left" w:pos="1701"/>
                <w:tab w:val="left" w:pos="2268"/>
              </w:tabs>
              <w:jc w:val="right"/>
              <w:rPr>
                <w:rFonts w:cs="Arial"/>
                <w:b/>
                <w:sz w:val="18"/>
                <w:szCs w:val="18"/>
              </w:rPr>
            </w:pPr>
            <w:r w:rsidRPr="00A25BFD">
              <w:rPr>
                <w:rFonts w:cs="Arial"/>
                <w:b/>
                <w:bCs/>
                <w:sz w:val="18"/>
                <w:szCs w:val="18"/>
              </w:rPr>
              <w:t>£'000</w:t>
            </w:r>
          </w:p>
        </w:tc>
        <w:tc>
          <w:tcPr>
            <w:tcW w:w="667" w:type="pct"/>
            <w:vAlign w:val="bottom"/>
          </w:tcPr>
          <w:p w:rsidR="0010395A" w:rsidRPr="00A25BFD" w:rsidRDefault="0010395A" w:rsidP="00704CC0">
            <w:pPr>
              <w:tabs>
                <w:tab w:val="left" w:pos="567"/>
                <w:tab w:val="left" w:pos="1134"/>
                <w:tab w:val="left" w:pos="1701"/>
                <w:tab w:val="left" w:pos="2268"/>
              </w:tabs>
              <w:jc w:val="right"/>
              <w:rPr>
                <w:rFonts w:cs="Arial"/>
                <w:sz w:val="18"/>
                <w:szCs w:val="18"/>
              </w:rPr>
            </w:pPr>
            <w:r w:rsidRPr="00A25BFD">
              <w:rPr>
                <w:rFonts w:cs="Arial"/>
                <w:sz w:val="18"/>
                <w:szCs w:val="18"/>
              </w:rPr>
              <w:t>Group</w:t>
            </w:r>
          </w:p>
          <w:p w:rsidR="0010395A" w:rsidRPr="00A25BFD" w:rsidRDefault="0010395A" w:rsidP="00704CC0">
            <w:pPr>
              <w:tabs>
                <w:tab w:val="left" w:pos="567"/>
                <w:tab w:val="left" w:pos="1134"/>
                <w:tab w:val="left" w:pos="1701"/>
                <w:tab w:val="left" w:pos="2268"/>
              </w:tabs>
              <w:jc w:val="right"/>
              <w:rPr>
                <w:rFonts w:cs="Arial"/>
                <w:sz w:val="18"/>
                <w:szCs w:val="18"/>
              </w:rPr>
            </w:pPr>
            <w:r w:rsidRPr="00A25BFD">
              <w:rPr>
                <w:rFonts w:cs="Arial"/>
                <w:sz w:val="18"/>
                <w:szCs w:val="18"/>
              </w:rPr>
              <w:t>2012</w:t>
            </w:r>
          </w:p>
          <w:p w:rsidR="0010395A" w:rsidRPr="00A25BFD" w:rsidRDefault="0010395A" w:rsidP="00704CC0">
            <w:pPr>
              <w:tabs>
                <w:tab w:val="left" w:pos="567"/>
                <w:tab w:val="left" w:pos="1134"/>
                <w:tab w:val="left" w:pos="1701"/>
                <w:tab w:val="left" w:pos="2268"/>
              </w:tabs>
              <w:jc w:val="right"/>
              <w:rPr>
                <w:rFonts w:cs="Arial"/>
                <w:sz w:val="18"/>
                <w:szCs w:val="18"/>
              </w:rPr>
            </w:pPr>
            <w:r w:rsidRPr="00A25BFD">
              <w:rPr>
                <w:rFonts w:cs="Arial"/>
                <w:bCs/>
                <w:sz w:val="18"/>
                <w:szCs w:val="18"/>
              </w:rPr>
              <w:t>£'000</w:t>
            </w:r>
          </w:p>
        </w:tc>
        <w:tc>
          <w:tcPr>
            <w:tcW w:w="665" w:type="pct"/>
          </w:tcPr>
          <w:p w:rsidR="0010395A" w:rsidRPr="00A25BFD" w:rsidRDefault="0010395A" w:rsidP="00704CC0">
            <w:pPr>
              <w:tabs>
                <w:tab w:val="left" w:pos="567"/>
                <w:tab w:val="left" w:pos="1134"/>
                <w:tab w:val="left" w:pos="1701"/>
                <w:tab w:val="left" w:pos="2268"/>
              </w:tabs>
              <w:jc w:val="right"/>
              <w:rPr>
                <w:rFonts w:cs="Arial"/>
                <w:sz w:val="18"/>
                <w:szCs w:val="18"/>
              </w:rPr>
            </w:pPr>
            <w:r w:rsidRPr="00A25BFD">
              <w:rPr>
                <w:rFonts w:cs="Arial"/>
                <w:sz w:val="18"/>
                <w:szCs w:val="18"/>
              </w:rPr>
              <w:t>Company</w:t>
            </w:r>
          </w:p>
          <w:p w:rsidR="0010395A" w:rsidRPr="00A25BFD" w:rsidRDefault="0010395A" w:rsidP="00704CC0">
            <w:pPr>
              <w:tabs>
                <w:tab w:val="left" w:pos="567"/>
                <w:tab w:val="left" w:pos="1134"/>
                <w:tab w:val="left" w:pos="1701"/>
                <w:tab w:val="left" w:pos="2268"/>
              </w:tabs>
              <w:jc w:val="right"/>
              <w:rPr>
                <w:rFonts w:cs="Arial"/>
                <w:sz w:val="18"/>
                <w:szCs w:val="18"/>
              </w:rPr>
            </w:pPr>
            <w:r w:rsidRPr="00A25BFD">
              <w:rPr>
                <w:rFonts w:cs="Arial"/>
                <w:sz w:val="18"/>
                <w:szCs w:val="18"/>
              </w:rPr>
              <w:t>2012</w:t>
            </w:r>
          </w:p>
          <w:p w:rsidR="0010395A" w:rsidRPr="00A25BFD" w:rsidRDefault="0010395A" w:rsidP="00704CC0">
            <w:pPr>
              <w:tabs>
                <w:tab w:val="left" w:pos="567"/>
                <w:tab w:val="left" w:pos="1134"/>
                <w:tab w:val="left" w:pos="1701"/>
                <w:tab w:val="left" w:pos="2268"/>
              </w:tabs>
              <w:jc w:val="right"/>
              <w:rPr>
                <w:rFonts w:cs="Arial"/>
                <w:sz w:val="18"/>
                <w:szCs w:val="18"/>
              </w:rPr>
            </w:pPr>
            <w:r w:rsidRPr="00A25BFD">
              <w:rPr>
                <w:rFonts w:cs="Arial"/>
                <w:bCs/>
                <w:sz w:val="18"/>
                <w:szCs w:val="18"/>
              </w:rPr>
              <w:t>£'000</w:t>
            </w:r>
          </w:p>
        </w:tc>
      </w:tr>
      <w:tr w:rsidR="0092140F" w:rsidRPr="00A76890" w:rsidTr="00562F9C">
        <w:trPr>
          <w:trHeight w:val="20"/>
        </w:trPr>
        <w:tc>
          <w:tcPr>
            <w:tcW w:w="1937" w:type="pct"/>
          </w:tcPr>
          <w:p w:rsidR="0092140F" w:rsidRPr="00A25BFD" w:rsidRDefault="0092140F" w:rsidP="00704CC0">
            <w:pPr>
              <w:tabs>
                <w:tab w:val="left" w:pos="567"/>
                <w:tab w:val="left" w:pos="1134"/>
                <w:tab w:val="left" w:pos="1701"/>
                <w:tab w:val="left" w:pos="2268"/>
              </w:tabs>
              <w:ind w:left="567"/>
              <w:rPr>
                <w:rFonts w:cs="Arial"/>
                <w:sz w:val="18"/>
                <w:szCs w:val="18"/>
              </w:rPr>
            </w:pPr>
            <w:r w:rsidRPr="00A25BFD">
              <w:rPr>
                <w:rFonts w:cs="Arial"/>
                <w:sz w:val="18"/>
                <w:szCs w:val="18"/>
              </w:rPr>
              <w:t>Financial liabilities measured at amortised cost:</w:t>
            </w:r>
          </w:p>
        </w:tc>
        <w:tc>
          <w:tcPr>
            <w:tcW w:w="397" w:type="pct"/>
            <w:vAlign w:val="bottom"/>
          </w:tcPr>
          <w:p w:rsidR="0092140F" w:rsidRPr="00A25BFD" w:rsidRDefault="0092140F" w:rsidP="00704CC0">
            <w:pPr>
              <w:tabs>
                <w:tab w:val="left" w:pos="567"/>
                <w:tab w:val="left" w:pos="1134"/>
                <w:tab w:val="left" w:pos="1701"/>
                <w:tab w:val="left" w:pos="2268"/>
              </w:tabs>
              <w:rPr>
                <w:rFonts w:cs="Arial"/>
                <w:b/>
                <w:sz w:val="18"/>
                <w:szCs w:val="18"/>
              </w:rPr>
            </w:pPr>
          </w:p>
        </w:tc>
        <w:tc>
          <w:tcPr>
            <w:tcW w:w="667" w:type="pct"/>
            <w:vAlign w:val="bottom"/>
          </w:tcPr>
          <w:p w:rsidR="0092140F" w:rsidRPr="00A25BFD" w:rsidRDefault="0092140F" w:rsidP="00704CC0">
            <w:pPr>
              <w:tabs>
                <w:tab w:val="left" w:pos="567"/>
                <w:tab w:val="left" w:pos="1134"/>
                <w:tab w:val="left" w:pos="1701"/>
                <w:tab w:val="left" w:pos="2268"/>
              </w:tabs>
              <w:jc w:val="right"/>
              <w:rPr>
                <w:rFonts w:cs="Arial"/>
                <w:b/>
                <w:sz w:val="18"/>
                <w:szCs w:val="18"/>
              </w:rPr>
            </w:pPr>
          </w:p>
        </w:tc>
        <w:tc>
          <w:tcPr>
            <w:tcW w:w="667" w:type="pct"/>
            <w:vAlign w:val="bottom"/>
          </w:tcPr>
          <w:p w:rsidR="0092140F" w:rsidRPr="00A25BFD" w:rsidRDefault="0092140F" w:rsidP="00704CC0">
            <w:pPr>
              <w:tabs>
                <w:tab w:val="left" w:pos="567"/>
                <w:tab w:val="left" w:pos="1134"/>
                <w:tab w:val="left" w:pos="1701"/>
                <w:tab w:val="left" w:pos="2268"/>
              </w:tabs>
              <w:jc w:val="right"/>
              <w:rPr>
                <w:rFonts w:cs="Arial"/>
                <w:b/>
                <w:sz w:val="18"/>
                <w:szCs w:val="18"/>
              </w:rPr>
            </w:pPr>
          </w:p>
        </w:tc>
        <w:tc>
          <w:tcPr>
            <w:tcW w:w="667" w:type="pct"/>
            <w:vAlign w:val="bottom"/>
          </w:tcPr>
          <w:p w:rsidR="0092140F" w:rsidRPr="00A25BFD" w:rsidRDefault="0092140F" w:rsidP="00704CC0">
            <w:pPr>
              <w:tabs>
                <w:tab w:val="left" w:pos="567"/>
                <w:tab w:val="left" w:pos="1134"/>
                <w:tab w:val="left" w:pos="1701"/>
                <w:tab w:val="left" w:pos="2268"/>
              </w:tabs>
              <w:jc w:val="right"/>
              <w:rPr>
                <w:rFonts w:cs="Arial"/>
                <w:sz w:val="18"/>
                <w:szCs w:val="18"/>
              </w:rPr>
            </w:pPr>
          </w:p>
        </w:tc>
        <w:tc>
          <w:tcPr>
            <w:tcW w:w="665" w:type="pct"/>
            <w:vAlign w:val="bottom"/>
          </w:tcPr>
          <w:p w:rsidR="0092140F" w:rsidRPr="00A25BFD" w:rsidRDefault="0092140F" w:rsidP="00704CC0">
            <w:pPr>
              <w:tabs>
                <w:tab w:val="left" w:pos="567"/>
                <w:tab w:val="left" w:pos="1134"/>
                <w:tab w:val="left" w:pos="1701"/>
                <w:tab w:val="left" w:pos="2268"/>
              </w:tabs>
              <w:jc w:val="right"/>
              <w:rPr>
                <w:rFonts w:cs="Arial"/>
                <w:sz w:val="18"/>
                <w:szCs w:val="18"/>
              </w:rPr>
            </w:pPr>
          </w:p>
        </w:tc>
      </w:tr>
      <w:tr w:rsidR="00A25BFD" w:rsidRPr="00A76890" w:rsidTr="00562F9C">
        <w:trPr>
          <w:trHeight w:val="20"/>
        </w:trPr>
        <w:tc>
          <w:tcPr>
            <w:tcW w:w="1937" w:type="pct"/>
          </w:tcPr>
          <w:p w:rsidR="00A25BFD" w:rsidRPr="00A25BFD" w:rsidRDefault="00A25BFD" w:rsidP="00704CC0">
            <w:pPr>
              <w:tabs>
                <w:tab w:val="left" w:pos="567"/>
                <w:tab w:val="left" w:pos="1134"/>
                <w:tab w:val="left" w:pos="1701"/>
                <w:tab w:val="left" w:pos="2268"/>
              </w:tabs>
              <w:ind w:left="567"/>
              <w:rPr>
                <w:rFonts w:cs="Arial"/>
                <w:sz w:val="18"/>
                <w:szCs w:val="18"/>
              </w:rPr>
            </w:pPr>
            <w:r w:rsidRPr="00A25BFD">
              <w:rPr>
                <w:rFonts w:cs="Arial"/>
                <w:sz w:val="18"/>
                <w:szCs w:val="18"/>
              </w:rPr>
              <w:t>Payables</w:t>
            </w:r>
          </w:p>
        </w:tc>
        <w:tc>
          <w:tcPr>
            <w:tcW w:w="397" w:type="pct"/>
            <w:vAlign w:val="bottom"/>
          </w:tcPr>
          <w:p w:rsidR="00A25BFD" w:rsidRPr="00A25BFD" w:rsidRDefault="00A25BFD" w:rsidP="00704CC0">
            <w:pPr>
              <w:tabs>
                <w:tab w:val="left" w:pos="567"/>
                <w:tab w:val="left" w:pos="1134"/>
                <w:tab w:val="left" w:pos="1701"/>
                <w:tab w:val="left" w:pos="2268"/>
              </w:tabs>
              <w:rPr>
                <w:rFonts w:cs="Arial"/>
                <w:sz w:val="18"/>
                <w:szCs w:val="18"/>
              </w:rPr>
            </w:pPr>
            <w:r w:rsidRPr="00A25BFD">
              <w:rPr>
                <w:rFonts w:cs="Arial"/>
                <w:sz w:val="18"/>
                <w:szCs w:val="18"/>
              </w:rPr>
              <w:t>17</w:t>
            </w:r>
          </w:p>
        </w:tc>
        <w:tc>
          <w:tcPr>
            <w:tcW w:w="667" w:type="pct"/>
            <w:vAlign w:val="bottom"/>
          </w:tcPr>
          <w:p w:rsidR="00A25BFD" w:rsidRPr="00A25BFD" w:rsidRDefault="00A25BFD" w:rsidP="00704CC0">
            <w:pPr>
              <w:tabs>
                <w:tab w:val="left" w:pos="567"/>
                <w:tab w:val="left" w:pos="1134"/>
                <w:tab w:val="left" w:pos="1701"/>
                <w:tab w:val="left" w:pos="2268"/>
              </w:tabs>
              <w:jc w:val="right"/>
              <w:rPr>
                <w:rFonts w:cs="Arial"/>
                <w:b/>
                <w:sz w:val="18"/>
                <w:szCs w:val="18"/>
              </w:rPr>
            </w:pPr>
            <w:r w:rsidRPr="00A25BFD">
              <w:rPr>
                <w:rFonts w:cs="Arial"/>
                <w:b/>
                <w:sz w:val="18"/>
                <w:szCs w:val="18"/>
              </w:rPr>
              <w:t>123</w:t>
            </w:r>
          </w:p>
        </w:tc>
        <w:tc>
          <w:tcPr>
            <w:tcW w:w="667" w:type="pct"/>
            <w:vAlign w:val="bottom"/>
          </w:tcPr>
          <w:p w:rsidR="00A25BFD" w:rsidRPr="00A25BFD" w:rsidRDefault="00A25BFD" w:rsidP="00704CC0">
            <w:pPr>
              <w:tabs>
                <w:tab w:val="left" w:pos="567"/>
                <w:tab w:val="left" w:pos="1134"/>
                <w:tab w:val="left" w:pos="1701"/>
                <w:tab w:val="left" w:pos="2268"/>
              </w:tabs>
              <w:jc w:val="right"/>
              <w:rPr>
                <w:rFonts w:cs="Arial"/>
                <w:b/>
                <w:sz w:val="18"/>
                <w:szCs w:val="18"/>
              </w:rPr>
            </w:pPr>
            <w:r w:rsidRPr="00A25BFD">
              <w:rPr>
                <w:rFonts w:cs="Arial"/>
                <w:b/>
                <w:sz w:val="18"/>
                <w:szCs w:val="18"/>
              </w:rPr>
              <w:t>77</w:t>
            </w:r>
          </w:p>
        </w:tc>
        <w:tc>
          <w:tcPr>
            <w:tcW w:w="667" w:type="pct"/>
            <w:vAlign w:val="bottom"/>
          </w:tcPr>
          <w:p w:rsidR="00A25BFD" w:rsidRPr="00A25BFD" w:rsidRDefault="00A25BFD" w:rsidP="00704CC0">
            <w:pPr>
              <w:tabs>
                <w:tab w:val="left" w:pos="567"/>
                <w:tab w:val="left" w:pos="1134"/>
                <w:tab w:val="left" w:pos="1701"/>
                <w:tab w:val="left" w:pos="2268"/>
              </w:tabs>
              <w:jc w:val="right"/>
              <w:rPr>
                <w:rFonts w:cs="Arial"/>
                <w:sz w:val="18"/>
                <w:szCs w:val="18"/>
              </w:rPr>
            </w:pPr>
            <w:r w:rsidRPr="00A25BFD">
              <w:rPr>
                <w:rFonts w:cs="Arial"/>
                <w:sz w:val="18"/>
                <w:szCs w:val="18"/>
              </w:rPr>
              <w:t>364</w:t>
            </w:r>
          </w:p>
        </w:tc>
        <w:tc>
          <w:tcPr>
            <w:tcW w:w="665" w:type="pct"/>
            <w:vAlign w:val="bottom"/>
          </w:tcPr>
          <w:p w:rsidR="00A25BFD" w:rsidRPr="00A25BFD" w:rsidRDefault="00A25BFD" w:rsidP="00704CC0">
            <w:pPr>
              <w:tabs>
                <w:tab w:val="left" w:pos="567"/>
                <w:tab w:val="left" w:pos="1134"/>
                <w:tab w:val="left" w:pos="1701"/>
                <w:tab w:val="left" w:pos="2268"/>
              </w:tabs>
              <w:jc w:val="right"/>
              <w:rPr>
                <w:rFonts w:cs="Arial"/>
                <w:sz w:val="18"/>
                <w:szCs w:val="18"/>
              </w:rPr>
            </w:pPr>
            <w:r w:rsidRPr="00A25BFD">
              <w:rPr>
                <w:rFonts w:cs="Arial"/>
                <w:sz w:val="18"/>
                <w:szCs w:val="18"/>
              </w:rPr>
              <w:t>77</w:t>
            </w:r>
          </w:p>
        </w:tc>
      </w:tr>
      <w:tr w:rsidR="00A25BFD" w:rsidRPr="00A76890" w:rsidTr="00562F9C">
        <w:trPr>
          <w:trHeight w:val="20"/>
        </w:trPr>
        <w:tc>
          <w:tcPr>
            <w:tcW w:w="1937" w:type="pct"/>
          </w:tcPr>
          <w:p w:rsidR="00A25BFD" w:rsidRPr="00A25BFD" w:rsidRDefault="00A25BFD" w:rsidP="00704CC0">
            <w:pPr>
              <w:tabs>
                <w:tab w:val="left" w:pos="567"/>
                <w:tab w:val="left" w:pos="1134"/>
                <w:tab w:val="left" w:pos="1701"/>
                <w:tab w:val="left" w:pos="2268"/>
              </w:tabs>
              <w:ind w:left="567"/>
              <w:rPr>
                <w:rFonts w:cs="Arial"/>
                <w:b/>
                <w:sz w:val="18"/>
                <w:szCs w:val="18"/>
              </w:rPr>
            </w:pPr>
          </w:p>
        </w:tc>
        <w:tc>
          <w:tcPr>
            <w:tcW w:w="397" w:type="pct"/>
            <w:vAlign w:val="bottom"/>
          </w:tcPr>
          <w:p w:rsidR="00A25BFD" w:rsidRPr="00A25BFD" w:rsidRDefault="00A25BFD" w:rsidP="00704CC0">
            <w:pPr>
              <w:tabs>
                <w:tab w:val="left" w:pos="567"/>
                <w:tab w:val="left" w:pos="1134"/>
                <w:tab w:val="left" w:pos="1701"/>
                <w:tab w:val="left" w:pos="2268"/>
              </w:tabs>
              <w:rPr>
                <w:rFonts w:cs="Arial"/>
                <w:b/>
                <w:sz w:val="18"/>
                <w:szCs w:val="18"/>
              </w:rPr>
            </w:pPr>
          </w:p>
        </w:tc>
        <w:tc>
          <w:tcPr>
            <w:tcW w:w="667" w:type="pct"/>
            <w:tcBorders>
              <w:top w:val="single" w:sz="4" w:space="0" w:color="auto"/>
              <w:bottom w:val="single" w:sz="4" w:space="0" w:color="auto"/>
            </w:tcBorders>
            <w:vAlign w:val="bottom"/>
          </w:tcPr>
          <w:p w:rsidR="00A25BFD" w:rsidRPr="00A25BFD" w:rsidRDefault="00A25BFD" w:rsidP="00704CC0">
            <w:pPr>
              <w:tabs>
                <w:tab w:val="left" w:pos="567"/>
                <w:tab w:val="left" w:pos="1134"/>
                <w:tab w:val="left" w:pos="1701"/>
                <w:tab w:val="left" w:pos="2268"/>
              </w:tabs>
              <w:jc w:val="right"/>
              <w:rPr>
                <w:rFonts w:cs="Arial"/>
                <w:b/>
                <w:sz w:val="18"/>
                <w:szCs w:val="18"/>
              </w:rPr>
            </w:pPr>
            <w:r w:rsidRPr="00A25BFD">
              <w:rPr>
                <w:rFonts w:cs="Arial"/>
                <w:b/>
                <w:sz w:val="18"/>
                <w:szCs w:val="18"/>
              </w:rPr>
              <w:t>123</w:t>
            </w:r>
          </w:p>
        </w:tc>
        <w:tc>
          <w:tcPr>
            <w:tcW w:w="667" w:type="pct"/>
            <w:tcBorders>
              <w:top w:val="single" w:sz="4" w:space="0" w:color="auto"/>
              <w:bottom w:val="single" w:sz="4" w:space="0" w:color="auto"/>
            </w:tcBorders>
          </w:tcPr>
          <w:p w:rsidR="00A25BFD" w:rsidRPr="00A25BFD" w:rsidRDefault="00A25BFD" w:rsidP="00704CC0">
            <w:pPr>
              <w:tabs>
                <w:tab w:val="left" w:pos="567"/>
                <w:tab w:val="left" w:pos="1134"/>
                <w:tab w:val="left" w:pos="1701"/>
                <w:tab w:val="left" w:pos="2268"/>
              </w:tabs>
              <w:jc w:val="right"/>
              <w:rPr>
                <w:rFonts w:cs="Arial"/>
                <w:b/>
                <w:sz w:val="18"/>
                <w:szCs w:val="18"/>
              </w:rPr>
            </w:pPr>
            <w:r w:rsidRPr="00A25BFD">
              <w:rPr>
                <w:rFonts w:cs="Arial"/>
                <w:b/>
                <w:sz w:val="18"/>
                <w:szCs w:val="18"/>
              </w:rPr>
              <w:t>77</w:t>
            </w:r>
          </w:p>
        </w:tc>
        <w:tc>
          <w:tcPr>
            <w:tcW w:w="667" w:type="pct"/>
            <w:tcBorders>
              <w:top w:val="single" w:sz="4" w:space="0" w:color="auto"/>
              <w:bottom w:val="single" w:sz="4" w:space="0" w:color="auto"/>
            </w:tcBorders>
            <w:vAlign w:val="bottom"/>
          </w:tcPr>
          <w:p w:rsidR="00A25BFD" w:rsidRPr="00A25BFD" w:rsidRDefault="00A25BFD" w:rsidP="00704CC0">
            <w:pPr>
              <w:tabs>
                <w:tab w:val="left" w:pos="567"/>
                <w:tab w:val="left" w:pos="1134"/>
                <w:tab w:val="left" w:pos="1701"/>
                <w:tab w:val="left" w:pos="2268"/>
              </w:tabs>
              <w:jc w:val="right"/>
              <w:rPr>
                <w:rFonts w:cs="Arial"/>
                <w:sz w:val="18"/>
                <w:szCs w:val="18"/>
              </w:rPr>
            </w:pPr>
            <w:r w:rsidRPr="00A25BFD">
              <w:rPr>
                <w:rFonts w:cs="Arial"/>
                <w:sz w:val="18"/>
                <w:szCs w:val="18"/>
              </w:rPr>
              <w:t>364</w:t>
            </w:r>
          </w:p>
        </w:tc>
        <w:tc>
          <w:tcPr>
            <w:tcW w:w="665" w:type="pct"/>
            <w:tcBorders>
              <w:top w:val="single" w:sz="4" w:space="0" w:color="auto"/>
              <w:bottom w:val="single" w:sz="4" w:space="0" w:color="auto"/>
            </w:tcBorders>
          </w:tcPr>
          <w:p w:rsidR="00A25BFD" w:rsidRPr="00A25BFD" w:rsidRDefault="00A25BFD" w:rsidP="00704CC0">
            <w:pPr>
              <w:tabs>
                <w:tab w:val="left" w:pos="567"/>
                <w:tab w:val="left" w:pos="1134"/>
                <w:tab w:val="left" w:pos="1701"/>
                <w:tab w:val="left" w:pos="2268"/>
              </w:tabs>
              <w:jc w:val="right"/>
              <w:rPr>
                <w:rFonts w:cs="Arial"/>
                <w:sz w:val="18"/>
                <w:szCs w:val="18"/>
              </w:rPr>
            </w:pPr>
            <w:r w:rsidRPr="00A25BFD">
              <w:rPr>
                <w:rFonts w:cs="Arial"/>
                <w:sz w:val="18"/>
                <w:szCs w:val="18"/>
              </w:rPr>
              <w:t>77</w:t>
            </w:r>
          </w:p>
        </w:tc>
      </w:tr>
    </w:tbl>
    <w:p w:rsidR="0092140F" w:rsidRPr="00A76890" w:rsidRDefault="0092140F" w:rsidP="00704CC0">
      <w:pPr>
        <w:pStyle w:val="Normal2-Para"/>
        <w:spacing w:line="240" w:lineRule="auto"/>
        <w:ind w:left="567"/>
        <w:rPr>
          <w:rFonts w:cs="Arial"/>
        </w:rPr>
      </w:pPr>
      <w:r w:rsidRPr="00A76890">
        <w:rPr>
          <w:rFonts w:cs="Arial"/>
        </w:rPr>
        <w:t xml:space="preserve">None of the financial liabilities </w:t>
      </w:r>
      <w:proofErr w:type="gramStart"/>
      <w:r w:rsidRPr="00A76890">
        <w:rPr>
          <w:rFonts w:cs="Arial"/>
        </w:rPr>
        <w:t>are</w:t>
      </w:r>
      <w:r w:rsidR="0029026C" w:rsidRPr="00A76890">
        <w:rPr>
          <w:rFonts w:cs="Arial"/>
        </w:rPr>
        <w:t xml:space="preserve"> </w:t>
      </w:r>
      <w:r w:rsidRPr="00A76890">
        <w:rPr>
          <w:rFonts w:cs="Arial"/>
        </w:rPr>
        <w:t>interest</w:t>
      </w:r>
      <w:proofErr w:type="gramEnd"/>
      <w:r w:rsidRPr="00A76890">
        <w:rPr>
          <w:rFonts w:cs="Arial"/>
        </w:rPr>
        <w:t xml:space="preserve"> bearing.</w:t>
      </w:r>
      <w:r w:rsidR="0029026C" w:rsidRPr="00A76890">
        <w:rPr>
          <w:rFonts w:cs="Arial"/>
        </w:rPr>
        <w:t xml:space="preserve"> </w:t>
      </w:r>
      <w:r w:rsidRPr="00A76890">
        <w:rPr>
          <w:rFonts w:cs="Arial"/>
        </w:rPr>
        <w:t>Management considers the fair values to be not materially different from the carrying amounts recognised in the statement of financial position as they are expected to be settled within the next one year.</w:t>
      </w:r>
    </w:p>
    <w:p w:rsidR="0092140F" w:rsidRPr="00A76890" w:rsidRDefault="0092140F" w:rsidP="00704CC0">
      <w:pPr>
        <w:pStyle w:val="Normal2-Para"/>
        <w:spacing w:line="240" w:lineRule="auto"/>
        <w:ind w:left="567"/>
        <w:rPr>
          <w:rFonts w:cs="Arial"/>
          <w:b/>
        </w:rPr>
      </w:pPr>
      <w:r w:rsidRPr="00A76890">
        <w:rPr>
          <w:rFonts w:eastAsia="MS Mincho" w:cs="Arial"/>
        </w:rPr>
        <w:t>The accounting policies for each category of financial instruments are provided in note 4.10. Information relating to fair values is presented in the related notes. The methods used to determine the fair values are described in note 14</w:t>
      </w:r>
      <w:r w:rsidR="009C4F65" w:rsidRPr="00A76890">
        <w:rPr>
          <w:rFonts w:eastAsia="MS Mincho" w:cs="Arial"/>
        </w:rPr>
        <w:t>.</w:t>
      </w:r>
      <w:r w:rsidRPr="00A76890">
        <w:rPr>
          <w:rFonts w:eastAsia="MS Mincho" w:cs="Arial"/>
        </w:rPr>
        <w:t>A description of the Group’s financial instruments risks, including risk management objectives and policies is given in note</w:t>
      </w:r>
      <w:r w:rsidR="00F80CCD" w:rsidRPr="00A76890">
        <w:rPr>
          <w:rFonts w:eastAsia="MS Mincho" w:cs="Arial"/>
        </w:rPr>
        <w:t xml:space="preserve"> 22</w:t>
      </w:r>
      <w:r w:rsidRPr="00A76890">
        <w:rPr>
          <w:rFonts w:eastAsia="MS Mincho" w:cs="Arial"/>
        </w:rPr>
        <w:t>.</w:t>
      </w:r>
    </w:p>
    <w:p w:rsidR="00863596" w:rsidRPr="00A25BFD" w:rsidRDefault="0092140F" w:rsidP="00704CC0">
      <w:pPr>
        <w:keepNext/>
        <w:keepLines/>
        <w:numPr>
          <w:ilvl w:val="0"/>
          <w:numId w:val="4"/>
        </w:numPr>
        <w:tabs>
          <w:tab w:val="clear" w:pos="810"/>
          <w:tab w:val="left" w:pos="567"/>
          <w:tab w:val="left" w:pos="1134"/>
          <w:tab w:val="left" w:pos="1701"/>
          <w:tab w:val="left" w:pos="2268"/>
        </w:tabs>
        <w:spacing w:before="240"/>
        <w:ind w:left="567" w:hanging="567"/>
        <w:rPr>
          <w:rFonts w:cs="Arial"/>
          <w:b/>
        </w:rPr>
      </w:pPr>
      <w:r w:rsidRPr="00A25BFD">
        <w:rPr>
          <w:rFonts w:cs="Arial"/>
          <w:b/>
        </w:rPr>
        <w:t>Related party transactions</w:t>
      </w:r>
    </w:p>
    <w:p w:rsidR="0092140F" w:rsidRPr="00A76890" w:rsidRDefault="00A25BFD" w:rsidP="00704CC0">
      <w:pPr>
        <w:pStyle w:val="Heading3-Sub-para"/>
        <w:ind w:left="567"/>
      </w:pPr>
      <w:r>
        <w:t xml:space="preserve">i. </w:t>
      </w:r>
      <w:r w:rsidR="0092140F" w:rsidRPr="00A76890">
        <w:t>Related parties</w:t>
      </w:r>
    </w:p>
    <w:p w:rsidR="0092140F" w:rsidRPr="00A76890" w:rsidRDefault="00A25BFD" w:rsidP="00704CC0">
      <w:pPr>
        <w:pStyle w:val="Heading4-Sub-sub-para"/>
        <w:ind w:left="567"/>
      </w:pPr>
      <w:r>
        <w:t>(a)</w:t>
      </w:r>
      <w:r>
        <w:tab/>
      </w:r>
      <w:r w:rsidR="0092140F" w:rsidRPr="00A76890">
        <w:t>Key Management Personnel (</w:t>
      </w:r>
      <w:r w:rsidR="002929A1" w:rsidRPr="00A76890">
        <w:t>“</w:t>
      </w:r>
      <w:r w:rsidR="0092140F" w:rsidRPr="00A76890">
        <w:t>KMP</w:t>
      </w:r>
      <w:r w:rsidR="002929A1" w:rsidRPr="00A76890">
        <w:t>”</w:t>
      </w:r>
      <w:r w:rsidR="0092140F" w:rsidRPr="00A76890">
        <w:t>)</w:t>
      </w:r>
    </w:p>
    <w:p w:rsidR="00A25BFD" w:rsidRPr="00A25BFD" w:rsidRDefault="00A25BFD" w:rsidP="00704CC0">
      <w:pPr>
        <w:pStyle w:val="Normal4-Sub-sub-para"/>
        <w:spacing w:line="240" w:lineRule="auto"/>
        <w:rPr>
          <w:b/>
        </w:rPr>
      </w:pPr>
      <w:r w:rsidRPr="00A25BFD">
        <w:rPr>
          <w:b/>
        </w:rPr>
        <w:t>Names of Directors</w:t>
      </w:r>
    </w:p>
    <w:p w:rsidR="00A25BFD" w:rsidRPr="00A76890" w:rsidRDefault="00A25BFD" w:rsidP="00704CC0">
      <w:pPr>
        <w:pStyle w:val="Normal4-Sub-sub-para"/>
        <w:spacing w:line="240" w:lineRule="auto"/>
      </w:pPr>
      <w:r w:rsidRPr="00A76890">
        <w:t>Gaurav Burman</w:t>
      </w:r>
    </w:p>
    <w:p w:rsidR="00A25BFD" w:rsidRPr="00A76890" w:rsidRDefault="00A25BFD" w:rsidP="00704CC0">
      <w:pPr>
        <w:pStyle w:val="Normal4-Sub-sub-para"/>
        <w:spacing w:line="240" w:lineRule="auto"/>
      </w:pPr>
      <w:r w:rsidRPr="00A76890">
        <w:t>Francis Anthony Hancock</w:t>
      </w:r>
    </w:p>
    <w:p w:rsidR="00A25BFD" w:rsidRPr="00A76890" w:rsidRDefault="00A25BFD" w:rsidP="00704CC0">
      <w:pPr>
        <w:pStyle w:val="Normal4-Sub-sub-para"/>
        <w:spacing w:line="240" w:lineRule="auto"/>
      </w:pPr>
      <w:r w:rsidRPr="00A76890">
        <w:t>James Norman Hauslein (Date of resignation 22 March 2013)</w:t>
      </w:r>
    </w:p>
    <w:p w:rsidR="00A25BFD" w:rsidRPr="00A76890" w:rsidRDefault="00A25BFD" w:rsidP="00704CC0">
      <w:pPr>
        <w:pStyle w:val="Normal4-Sub-sub-para"/>
        <w:spacing w:line="240" w:lineRule="auto"/>
      </w:pPr>
      <w:r w:rsidRPr="00A76890">
        <w:t>Vikram Lall</w:t>
      </w:r>
    </w:p>
    <w:p w:rsidR="00A25BFD" w:rsidRPr="00A76890" w:rsidRDefault="00A25BFD" w:rsidP="00704CC0">
      <w:pPr>
        <w:pStyle w:val="Normal4-Sub-sub-para"/>
        <w:spacing w:line="240" w:lineRule="auto"/>
      </w:pPr>
      <w:r w:rsidRPr="00A76890">
        <w:t>Elizabeth Tansell</w:t>
      </w:r>
    </w:p>
    <w:p w:rsidR="0092140F" w:rsidRPr="00A76890" w:rsidRDefault="00A25BFD" w:rsidP="00704CC0">
      <w:pPr>
        <w:pStyle w:val="Heading4-Sub-sub-para"/>
        <w:ind w:left="567"/>
      </w:pPr>
      <w:r>
        <w:t>(b)</w:t>
      </w:r>
      <w:r>
        <w:tab/>
      </w:r>
      <w:r w:rsidR="0092140F" w:rsidRPr="00A76890">
        <w:t>Entities controlled by KMP with whom transactions have taken place during the year:</w:t>
      </w:r>
    </w:p>
    <w:p w:rsidR="00A25BFD" w:rsidRPr="00A76890" w:rsidRDefault="00A25BFD" w:rsidP="00704CC0">
      <w:pPr>
        <w:pStyle w:val="Normal4-Sub-sub-para"/>
        <w:spacing w:line="240" w:lineRule="auto"/>
      </w:pPr>
      <w:r w:rsidRPr="00A76890">
        <w:t xml:space="preserve">Elephant Capital LLP </w:t>
      </w:r>
    </w:p>
    <w:p w:rsidR="00A25BFD" w:rsidRPr="00A76890" w:rsidRDefault="00A25BFD" w:rsidP="00704CC0">
      <w:pPr>
        <w:pStyle w:val="Normal4-Sub-sub-para"/>
        <w:spacing w:line="240" w:lineRule="auto"/>
      </w:pPr>
      <w:r w:rsidRPr="00A76890">
        <w:t>Chamberlain Fund Services Limited</w:t>
      </w:r>
    </w:p>
    <w:p w:rsidR="00A25BFD" w:rsidRPr="00A76890" w:rsidRDefault="00A25BFD" w:rsidP="00704CC0">
      <w:pPr>
        <w:pStyle w:val="Normal4-Sub-sub-para"/>
        <w:spacing w:line="240" w:lineRule="auto"/>
      </w:pPr>
      <w:r w:rsidRPr="00A76890">
        <w:t>Elephant India Finance Private Limited</w:t>
      </w:r>
    </w:p>
    <w:p w:rsidR="00A25BFD" w:rsidRPr="00A76890" w:rsidRDefault="00A25BFD" w:rsidP="00704CC0">
      <w:pPr>
        <w:pStyle w:val="Normal4-Sub-sub-para"/>
        <w:spacing w:line="240" w:lineRule="auto"/>
      </w:pPr>
      <w:r w:rsidRPr="00A76890">
        <w:t>Elephant India Limited</w:t>
      </w:r>
    </w:p>
    <w:p w:rsidR="008203B3" w:rsidRPr="00A76890" w:rsidRDefault="00A25BFD" w:rsidP="00704CC0">
      <w:pPr>
        <w:pStyle w:val="Heading4-Sub-sub-para"/>
        <w:ind w:left="567"/>
      </w:pPr>
      <w:r>
        <w:t>(c)</w:t>
      </w:r>
      <w:r>
        <w:tab/>
      </w:r>
      <w:r w:rsidR="008203B3" w:rsidRPr="00A76890">
        <w:t>Associates with whom transactions have taken place during the year</w:t>
      </w:r>
      <w:r w:rsidR="00A11971" w:rsidRPr="00A76890">
        <w:t>;</w:t>
      </w:r>
    </w:p>
    <w:p w:rsidR="0092140F" w:rsidRPr="00A76890" w:rsidRDefault="0092140F" w:rsidP="00704CC0">
      <w:pPr>
        <w:pStyle w:val="Normal4-Sub-sub-para"/>
        <w:spacing w:line="240" w:lineRule="auto"/>
      </w:pPr>
      <w:r w:rsidRPr="00A76890">
        <w:t>Global Cricket Ventures Limited (</w:t>
      </w:r>
      <w:r w:rsidR="00123FBB" w:rsidRPr="00A76890">
        <w:t>“</w:t>
      </w:r>
      <w:r w:rsidRPr="00A76890">
        <w:t>GCV</w:t>
      </w:r>
      <w:r w:rsidR="00123FBB" w:rsidRPr="00A76890">
        <w:t>”</w:t>
      </w:r>
      <w:r w:rsidRPr="00A76890">
        <w:t>)</w:t>
      </w:r>
    </w:p>
    <w:p w:rsidR="00123FBB" w:rsidRPr="00A76890" w:rsidRDefault="00123FBB" w:rsidP="00704CC0">
      <w:pPr>
        <w:pStyle w:val="Normal4-Sub-sub-para"/>
        <w:spacing w:line="240" w:lineRule="auto"/>
      </w:pPr>
      <w:r w:rsidRPr="00A76890">
        <w:t>ClinTec Luxembourg SA (“ClinTec”)</w:t>
      </w:r>
    </w:p>
    <w:p w:rsidR="0092140F" w:rsidRPr="00A76890" w:rsidRDefault="0092140F" w:rsidP="00704CC0">
      <w:pPr>
        <w:tabs>
          <w:tab w:val="left" w:pos="567"/>
          <w:tab w:val="left" w:pos="1134"/>
          <w:tab w:val="left" w:pos="1701"/>
          <w:tab w:val="left" w:pos="2268"/>
        </w:tabs>
        <w:ind w:left="630"/>
        <w:rPr>
          <w:rFonts w:cs="Arial"/>
          <w:i/>
          <w:sz w:val="22"/>
          <w:szCs w:val="22"/>
        </w:rPr>
      </w:pPr>
    </w:p>
    <w:p w:rsidR="0092140F" w:rsidRPr="00A76890" w:rsidRDefault="00853BDB" w:rsidP="00704CC0">
      <w:pPr>
        <w:pStyle w:val="Heading3-Sub-para"/>
        <w:ind w:left="1134" w:hanging="567"/>
      </w:pPr>
      <w:r>
        <w:t>ii.</w:t>
      </w:r>
      <w:r>
        <w:tab/>
      </w:r>
      <w:r w:rsidR="0092140F" w:rsidRPr="00A76890">
        <w:t>The transactions with related parties and balances as at the year-end are summarised below</w:t>
      </w:r>
    </w:p>
    <w:p w:rsidR="0092140F" w:rsidRPr="00A76890" w:rsidRDefault="00853BDB" w:rsidP="00704CC0">
      <w:pPr>
        <w:pStyle w:val="Heading4-Sub-sub-para"/>
        <w:ind w:left="1134"/>
      </w:pPr>
      <w:r>
        <w:t>(a)</w:t>
      </w:r>
      <w:r>
        <w:tab/>
      </w:r>
      <w:r w:rsidR="0092140F" w:rsidRPr="00A76890">
        <w:t>Key Management Personnel (</w:t>
      </w:r>
      <w:r w:rsidR="002929A1" w:rsidRPr="00A76890">
        <w:t>“</w:t>
      </w:r>
      <w:r w:rsidR="0092140F" w:rsidRPr="00A76890">
        <w:t>KMP</w:t>
      </w:r>
      <w:r w:rsidR="002929A1" w:rsidRPr="00A76890">
        <w:t>”</w:t>
      </w:r>
      <w:r w:rsidR="0092140F" w:rsidRPr="00A76890">
        <w:t xml:space="preserve">) </w:t>
      </w:r>
    </w:p>
    <w:p w:rsidR="0092140F" w:rsidRPr="00A76890" w:rsidRDefault="0092140F" w:rsidP="00704CC0">
      <w:pPr>
        <w:pStyle w:val="Normal4-Sub-sub-para"/>
        <w:spacing w:line="240" w:lineRule="auto"/>
        <w:ind w:left="1701"/>
      </w:pPr>
      <w:r w:rsidRPr="00A76890">
        <w:t>Compensation paid to the Company’s Board of Directors is disclosed in note 10.</w:t>
      </w:r>
      <w:r w:rsidR="005B766E" w:rsidRPr="00A76890">
        <w:t xml:space="preserve"> </w:t>
      </w:r>
      <w:r w:rsidRPr="00A76890">
        <w:t xml:space="preserve">It comprises of Director </w:t>
      </w:r>
      <w:proofErr w:type="gramStart"/>
      <w:r w:rsidRPr="00A76890">
        <w:t>fees</w:t>
      </w:r>
      <w:proofErr w:type="gramEnd"/>
      <w:r w:rsidRPr="00A76890">
        <w:t xml:space="preserve"> only and there are no post-employment benefits payable to any of the Directors of the Company.</w:t>
      </w:r>
    </w:p>
    <w:p w:rsidR="0092140F" w:rsidRPr="00A76890" w:rsidRDefault="0092140F" w:rsidP="00704CC0">
      <w:pPr>
        <w:pStyle w:val="Normal4-Sub-sub-para"/>
        <w:spacing w:after="60" w:line="240" w:lineRule="auto"/>
        <w:ind w:left="1701"/>
      </w:pPr>
      <w:r w:rsidRPr="00A76890">
        <w:t>The following amount</w:t>
      </w:r>
      <w:r w:rsidR="007A76DD" w:rsidRPr="00A76890">
        <w:t>s</w:t>
      </w:r>
      <w:r w:rsidRPr="00A76890">
        <w:t xml:space="preserve"> were paid on account of Director’s fees </w:t>
      </w:r>
      <w:r w:rsidR="00E0297E" w:rsidRPr="00A76890">
        <w:t>during each</w:t>
      </w:r>
      <w:r w:rsidRPr="00A76890">
        <w:t xml:space="preserve"> of </w:t>
      </w:r>
      <w:r w:rsidR="0099000B" w:rsidRPr="00A76890">
        <w:t xml:space="preserve">the </w:t>
      </w:r>
      <w:r w:rsidRPr="00A76890">
        <w:t>year</w:t>
      </w:r>
      <w:r w:rsidR="0099000B" w:rsidRPr="00A76890">
        <w:t>s</w:t>
      </w:r>
      <w:r w:rsidRPr="00A76890">
        <w:t xml:space="preserve"> reported</w:t>
      </w:r>
      <w:r w:rsidR="00E4178B" w:rsidRPr="00A76890">
        <w:t>:</w:t>
      </w:r>
      <w:r w:rsidRPr="00A76890">
        <w:t xml:space="preserve"> </w:t>
      </w:r>
    </w:p>
    <w:tbl>
      <w:tblPr>
        <w:tblW w:w="8953" w:type="dxa"/>
        <w:tblLayout w:type="fixed"/>
        <w:tblCellMar>
          <w:top w:w="28" w:type="dxa"/>
          <w:left w:w="57" w:type="dxa"/>
          <w:bottom w:w="28" w:type="dxa"/>
          <w:right w:w="57" w:type="dxa"/>
        </w:tblCellMar>
        <w:tblLook w:val="01E0"/>
      </w:tblPr>
      <w:tblGrid>
        <w:gridCol w:w="4325"/>
        <w:gridCol w:w="1157"/>
        <w:gridCol w:w="1157"/>
        <w:gridCol w:w="1157"/>
        <w:gridCol w:w="1157"/>
      </w:tblGrid>
      <w:tr w:rsidR="0092140F" w:rsidRPr="00A76890" w:rsidTr="00562F9C">
        <w:tc>
          <w:tcPr>
            <w:tcW w:w="2416" w:type="pct"/>
            <w:vAlign w:val="bottom"/>
          </w:tcPr>
          <w:p w:rsidR="0092140F" w:rsidRPr="00853BDB" w:rsidRDefault="0092140F" w:rsidP="00704CC0">
            <w:pPr>
              <w:keepNext/>
              <w:keepLines/>
              <w:tabs>
                <w:tab w:val="left" w:pos="567"/>
                <w:tab w:val="left" w:pos="1134"/>
                <w:tab w:val="left" w:pos="1701"/>
                <w:tab w:val="left" w:pos="2268"/>
              </w:tabs>
              <w:ind w:left="1701"/>
              <w:rPr>
                <w:rFonts w:cs="Arial"/>
                <w:b/>
                <w:sz w:val="18"/>
                <w:szCs w:val="18"/>
              </w:rPr>
            </w:pPr>
            <w:r w:rsidRPr="00853BDB">
              <w:rPr>
                <w:rFonts w:cs="Arial"/>
                <w:b/>
                <w:sz w:val="18"/>
                <w:szCs w:val="18"/>
              </w:rPr>
              <w:t>Nature of transaction</w:t>
            </w:r>
          </w:p>
        </w:tc>
        <w:tc>
          <w:tcPr>
            <w:tcW w:w="1292" w:type="pct"/>
            <w:gridSpan w:val="2"/>
            <w:vAlign w:val="bottom"/>
          </w:tcPr>
          <w:p w:rsidR="0092140F" w:rsidRPr="00853BDB" w:rsidRDefault="0092140F" w:rsidP="00704CC0">
            <w:pPr>
              <w:keepNext/>
              <w:keepLines/>
              <w:tabs>
                <w:tab w:val="left" w:pos="567"/>
                <w:tab w:val="left" w:pos="1134"/>
                <w:tab w:val="left" w:pos="1701"/>
                <w:tab w:val="left" w:pos="2268"/>
              </w:tabs>
              <w:jc w:val="center"/>
              <w:rPr>
                <w:rFonts w:cs="Arial"/>
                <w:b/>
                <w:sz w:val="18"/>
                <w:szCs w:val="18"/>
              </w:rPr>
            </w:pPr>
            <w:r w:rsidRPr="00853BDB">
              <w:rPr>
                <w:rFonts w:cs="Arial"/>
                <w:b/>
                <w:sz w:val="18"/>
                <w:szCs w:val="18"/>
              </w:rPr>
              <w:t>Amount</w:t>
            </w:r>
          </w:p>
        </w:tc>
        <w:tc>
          <w:tcPr>
            <w:tcW w:w="1292" w:type="pct"/>
            <w:gridSpan w:val="2"/>
            <w:vAlign w:val="bottom"/>
          </w:tcPr>
          <w:p w:rsidR="00C26968" w:rsidRPr="00853BDB" w:rsidRDefault="0092140F" w:rsidP="00704CC0">
            <w:pPr>
              <w:keepNext/>
              <w:keepLines/>
              <w:tabs>
                <w:tab w:val="left" w:pos="567"/>
                <w:tab w:val="left" w:pos="1134"/>
                <w:tab w:val="left" w:pos="1701"/>
                <w:tab w:val="left" w:pos="2268"/>
              </w:tabs>
              <w:jc w:val="center"/>
              <w:rPr>
                <w:rFonts w:cs="Arial"/>
                <w:b/>
                <w:sz w:val="18"/>
                <w:szCs w:val="18"/>
              </w:rPr>
            </w:pPr>
            <w:r w:rsidRPr="00853BDB">
              <w:rPr>
                <w:rFonts w:cs="Arial"/>
                <w:b/>
                <w:sz w:val="18"/>
                <w:szCs w:val="18"/>
              </w:rPr>
              <w:t xml:space="preserve">Debit/ (Credit) balance </w:t>
            </w:r>
            <w:r w:rsidRPr="00853BDB">
              <w:rPr>
                <w:rFonts w:cs="Arial"/>
                <w:i/>
                <w:sz w:val="18"/>
                <w:szCs w:val="18"/>
              </w:rPr>
              <w:t>(unsecured)</w:t>
            </w:r>
          </w:p>
        </w:tc>
      </w:tr>
      <w:tr w:rsidR="00853BDB" w:rsidRPr="00A76890" w:rsidTr="00562F9C">
        <w:trPr>
          <w:trHeight w:val="828"/>
        </w:trPr>
        <w:tc>
          <w:tcPr>
            <w:tcW w:w="2416" w:type="pct"/>
          </w:tcPr>
          <w:p w:rsidR="00853BDB" w:rsidRPr="00853BDB" w:rsidRDefault="00853BDB" w:rsidP="00704CC0">
            <w:pPr>
              <w:keepNext/>
              <w:keepLines/>
              <w:tabs>
                <w:tab w:val="left" w:pos="567"/>
                <w:tab w:val="left" w:pos="1134"/>
                <w:tab w:val="left" w:pos="1701"/>
                <w:tab w:val="left" w:pos="2268"/>
              </w:tabs>
              <w:ind w:left="1701" w:firstLine="72"/>
              <w:rPr>
                <w:rFonts w:cs="Arial"/>
                <w:b/>
                <w:sz w:val="18"/>
                <w:szCs w:val="18"/>
                <w:lang w:val="en-GB"/>
              </w:rPr>
            </w:pPr>
          </w:p>
        </w:tc>
        <w:tc>
          <w:tcPr>
            <w:tcW w:w="646" w:type="pct"/>
            <w:vAlign w:val="bottom"/>
          </w:tcPr>
          <w:p w:rsidR="00853BDB" w:rsidRPr="00853BDB" w:rsidRDefault="00853BDB" w:rsidP="00704CC0">
            <w:pPr>
              <w:keepNext/>
              <w:keepLines/>
              <w:tabs>
                <w:tab w:val="left" w:pos="567"/>
                <w:tab w:val="left" w:pos="1134"/>
                <w:tab w:val="left" w:pos="1701"/>
                <w:tab w:val="left" w:pos="2268"/>
              </w:tabs>
              <w:ind w:hanging="108"/>
              <w:jc w:val="right"/>
              <w:rPr>
                <w:rFonts w:cs="Arial"/>
                <w:b/>
                <w:sz w:val="18"/>
                <w:szCs w:val="18"/>
              </w:rPr>
            </w:pPr>
            <w:r w:rsidRPr="00853BDB">
              <w:rPr>
                <w:rFonts w:cs="Arial"/>
                <w:b/>
                <w:sz w:val="18"/>
                <w:szCs w:val="18"/>
              </w:rPr>
              <w:t>Year ended 31 August 2013</w:t>
            </w:r>
          </w:p>
          <w:p w:rsidR="00853BDB" w:rsidRPr="00853BDB" w:rsidRDefault="00853BDB" w:rsidP="00704CC0">
            <w:pPr>
              <w:keepNext/>
              <w:keepLines/>
              <w:tabs>
                <w:tab w:val="left" w:pos="567"/>
                <w:tab w:val="left" w:pos="1134"/>
                <w:tab w:val="left" w:pos="1701"/>
                <w:tab w:val="left" w:pos="2268"/>
              </w:tabs>
              <w:jc w:val="right"/>
              <w:rPr>
                <w:rFonts w:cs="Arial"/>
                <w:b/>
                <w:sz w:val="18"/>
                <w:szCs w:val="18"/>
              </w:rPr>
            </w:pPr>
            <w:r w:rsidRPr="00853BDB">
              <w:rPr>
                <w:rFonts w:cs="Arial"/>
                <w:b/>
                <w:bCs/>
                <w:sz w:val="18"/>
                <w:szCs w:val="18"/>
              </w:rPr>
              <w:t>£'000</w:t>
            </w:r>
          </w:p>
        </w:tc>
        <w:tc>
          <w:tcPr>
            <w:tcW w:w="646" w:type="pct"/>
            <w:vAlign w:val="bottom"/>
          </w:tcPr>
          <w:p w:rsidR="00853BDB" w:rsidRPr="00853BDB" w:rsidRDefault="00853BDB" w:rsidP="00704CC0">
            <w:pPr>
              <w:keepNext/>
              <w:keepLines/>
              <w:tabs>
                <w:tab w:val="left" w:pos="567"/>
                <w:tab w:val="left" w:pos="1134"/>
                <w:tab w:val="left" w:pos="1701"/>
                <w:tab w:val="left" w:pos="2268"/>
              </w:tabs>
              <w:jc w:val="right"/>
              <w:rPr>
                <w:rFonts w:cs="Arial"/>
                <w:sz w:val="18"/>
                <w:szCs w:val="18"/>
              </w:rPr>
            </w:pPr>
            <w:r w:rsidRPr="00853BDB">
              <w:rPr>
                <w:rFonts w:cs="Arial"/>
                <w:sz w:val="18"/>
                <w:szCs w:val="18"/>
              </w:rPr>
              <w:t>Year ended 31 August 2012</w:t>
            </w:r>
          </w:p>
          <w:p w:rsidR="00853BDB" w:rsidRPr="00853BDB" w:rsidRDefault="00853BDB" w:rsidP="00704CC0">
            <w:pPr>
              <w:keepNext/>
              <w:keepLines/>
              <w:tabs>
                <w:tab w:val="left" w:pos="567"/>
                <w:tab w:val="left" w:pos="1134"/>
                <w:tab w:val="left" w:pos="1701"/>
                <w:tab w:val="left" w:pos="2268"/>
              </w:tabs>
              <w:jc w:val="right"/>
              <w:rPr>
                <w:rFonts w:cs="Arial"/>
                <w:sz w:val="18"/>
                <w:szCs w:val="18"/>
              </w:rPr>
            </w:pPr>
            <w:r w:rsidRPr="00853BDB">
              <w:rPr>
                <w:rFonts w:cs="Arial"/>
                <w:bCs/>
                <w:sz w:val="18"/>
                <w:szCs w:val="18"/>
              </w:rPr>
              <w:t>£'000</w:t>
            </w:r>
          </w:p>
        </w:tc>
        <w:tc>
          <w:tcPr>
            <w:tcW w:w="646" w:type="pct"/>
            <w:vAlign w:val="bottom"/>
          </w:tcPr>
          <w:p w:rsidR="00853BDB" w:rsidRPr="00853BDB" w:rsidRDefault="00853BDB" w:rsidP="00704CC0">
            <w:pPr>
              <w:keepNext/>
              <w:keepLines/>
              <w:tabs>
                <w:tab w:val="left" w:pos="567"/>
                <w:tab w:val="left" w:pos="1134"/>
                <w:tab w:val="left" w:pos="1701"/>
                <w:tab w:val="left" w:pos="2268"/>
              </w:tabs>
              <w:jc w:val="right"/>
              <w:rPr>
                <w:rFonts w:cs="Arial"/>
                <w:b/>
                <w:sz w:val="18"/>
                <w:szCs w:val="18"/>
              </w:rPr>
            </w:pPr>
            <w:r w:rsidRPr="00853BDB">
              <w:rPr>
                <w:rFonts w:cs="Arial"/>
                <w:b/>
                <w:sz w:val="18"/>
                <w:szCs w:val="18"/>
              </w:rPr>
              <w:t>As at 31 August 2013</w:t>
            </w:r>
          </w:p>
          <w:p w:rsidR="00853BDB" w:rsidRPr="00853BDB" w:rsidRDefault="00853BDB" w:rsidP="00704CC0">
            <w:pPr>
              <w:keepNext/>
              <w:keepLines/>
              <w:tabs>
                <w:tab w:val="left" w:pos="567"/>
                <w:tab w:val="left" w:pos="1134"/>
                <w:tab w:val="left" w:pos="1701"/>
                <w:tab w:val="left" w:pos="2268"/>
              </w:tabs>
              <w:jc w:val="right"/>
              <w:rPr>
                <w:rFonts w:cs="Arial"/>
                <w:b/>
                <w:sz w:val="18"/>
                <w:szCs w:val="18"/>
              </w:rPr>
            </w:pPr>
            <w:r w:rsidRPr="00853BDB">
              <w:rPr>
                <w:rFonts w:cs="Arial"/>
                <w:b/>
                <w:bCs/>
                <w:sz w:val="18"/>
                <w:szCs w:val="18"/>
              </w:rPr>
              <w:t>£'000</w:t>
            </w:r>
          </w:p>
        </w:tc>
        <w:tc>
          <w:tcPr>
            <w:tcW w:w="647" w:type="pct"/>
            <w:vAlign w:val="bottom"/>
          </w:tcPr>
          <w:p w:rsidR="00853BDB" w:rsidRPr="00853BDB" w:rsidRDefault="00853BDB" w:rsidP="00704CC0">
            <w:pPr>
              <w:keepNext/>
              <w:keepLines/>
              <w:tabs>
                <w:tab w:val="left" w:pos="567"/>
                <w:tab w:val="left" w:pos="1134"/>
                <w:tab w:val="left" w:pos="1701"/>
                <w:tab w:val="left" w:pos="2268"/>
              </w:tabs>
              <w:jc w:val="right"/>
              <w:rPr>
                <w:rFonts w:cs="Arial"/>
                <w:sz w:val="18"/>
                <w:szCs w:val="18"/>
              </w:rPr>
            </w:pPr>
            <w:r w:rsidRPr="00853BDB">
              <w:rPr>
                <w:rFonts w:cs="Arial"/>
                <w:sz w:val="18"/>
                <w:szCs w:val="18"/>
              </w:rPr>
              <w:t>As at 31 August 2012</w:t>
            </w:r>
          </w:p>
          <w:p w:rsidR="00853BDB" w:rsidRPr="00853BDB" w:rsidRDefault="00853BDB" w:rsidP="00704CC0">
            <w:pPr>
              <w:keepNext/>
              <w:keepLines/>
              <w:tabs>
                <w:tab w:val="left" w:pos="567"/>
                <w:tab w:val="left" w:pos="1134"/>
                <w:tab w:val="left" w:pos="1701"/>
                <w:tab w:val="left" w:pos="2268"/>
              </w:tabs>
              <w:jc w:val="right"/>
              <w:rPr>
                <w:rFonts w:cs="Arial"/>
                <w:sz w:val="18"/>
                <w:szCs w:val="18"/>
              </w:rPr>
            </w:pPr>
            <w:r w:rsidRPr="00853BDB">
              <w:rPr>
                <w:rFonts w:cs="Arial"/>
                <w:bCs/>
                <w:sz w:val="18"/>
                <w:szCs w:val="18"/>
              </w:rPr>
              <w:t>£'000</w:t>
            </w:r>
          </w:p>
        </w:tc>
      </w:tr>
      <w:tr w:rsidR="005F6D5F" w:rsidRPr="00A76890" w:rsidTr="00562F9C">
        <w:tc>
          <w:tcPr>
            <w:tcW w:w="2416" w:type="pct"/>
          </w:tcPr>
          <w:p w:rsidR="005F6D5F" w:rsidRPr="00853BDB" w:rsidRDefault="005F6D5F" w:rsidP="00704CC0">
            <w:pPr>
              <w:keepNext/>
              <w:keepLines/>
              <w:tabs>
                <w:tab w:val="left" w:pos="567"/>
                <w:tab w:val="left" w:pos="1134"/>
                <w:tab w:val="left" w:pos="1701"/>
                <w:tab w:val="left" w:pos="2268"/>
              </w:tabs>
              <w:ind w:left="1701"/>
              <w:rPr>
                <w:rFonts w:cs="Arial"/>
                <w:sz w:val="18"/>
                <w:szCs w:val="18"/>
              </w:rPr>
            </w:pPr>
            <w:r w:rsidRPr="00853BDB">
              <w:rPr>
                <w:rFonts w:cs="Arial"/>
                <w:sz w:val="18"/>
                <w:szCs w:val="18"/>
              </w:rPr>
              <w:t>Directors</w:t>
            </w:r>
            <w:r w:rsidR="007D10F7" w:rsidRPr="00853BDB">
              <w:rPr>
                <w:rFonts w:cs="Arial"/>
                <w:sz w:val="18"/>
                <w:szCs w:val="18"/>
              </w:rPr>
              <w:t>'</w:t>
            </w:r>
            <w:r w:rsidRPr="00853BDB">
              <w:rPr>
                <w:rFonts w:cs="Arial"/>
                <w:sz w:val="18"/>
                <w:szCs w:val="18"/>
              </w:rPr>
              <w:t xml:space="preserve"> fee</w:t>
            </w:r>
          </w:p>
        </w:tc>
        <w:tc>
          <w:tcPr>
            <w:tcW w:w="646" w:type="pct"/>
            <w:tcBorders>
              <w:top w:val="single" w:sz="4" w:space="0" w:color="auto"/>
            </w:tcBorders>
          </w:tcPr>
          <w:p w:rsidR="005F6D5F" w:rsidRPr="00853BDB" w:rsidRDefault="004E1CDD" w:rsidP="00704CC0">
            <w:pPr>
              <w:keepNext/>
              <w:keepLines/>
              <w:tabs>
                <w:tab w:val="left" w:pos="567"/>
                <w:tab w:val="left" w:pos="1134"/>
                <w:tab w:val="left" w:pos="1701"/>
                <w:tab w:val="left" w:pos="2268"/>
              </w:tabs>
              <w:jc w:val="right"/>
              <w:rPr>
                <w:rFonts w:cs="Arial"/>
                <w:b/>
                <w:bCs/>
                <w:sz w:val="18"/>
                <w:szCs w:val="18"/>
              </w:rPr>
            </w:pPr>
            <w:r w:rsidRPr="00853BDB">
              <w:rPr>
                <w:rFonts w:cs="Arial"/>
                <w:b/>
                <w:bCs/>
                <w:sz w:val="18"/>
                <w:szCs w:val="18"/>
              </w:rPr>
              <w:t>11</w:t>
            </w:r>
            <w:r w:rsidR="00E27A7D" w:rsidRPr="00853BDB">
              <w:rPr>
                <w:rFonts w:cs="Arial"/>
                <w:b/>
                <w:bCs/>
                <w:sz w:val="18"/>
                <w:szCs w:val="18"/>
              </w:rPr>
              <w:t>4</w:t>
            </w:r>
          </w:p>
        </w:tc>
        <w:tc>
          <w:tcPr>
            <w:tcW w:w="646" w:type="pct"/>
            <w:tcBorders>
              <w:top w:val="single" w:sz="4" w:space="0" w:color="auto"/>
            </w:tcBorders>
          </w:tcPr>
          <w:p w:rsidR="005F6D5F" w:rsidRPr="00853BDB" w:rsidRDefault="004E1CDD" w:rsidP="00704CC0">
            <w:pPr>
              <w:keepNext/>
              <w:keepLines/>
              <w:tabs>
                <w:tab w:val="left" w:pos="567"/>
                <w:tab w:val="left" w:pos="1134"/>
                <w:tab w:val="left" w:pos="1701"/>
                <w:tab w:val="left" w:pos="2268"/>
              </w:tabs>
              <w:jc w:val="right"/>
              <w:rPr>
                <w:rFonts w:cs="Arial"/>
                <w:bCs/>
                <w:sz w:val="18"/>
                <w:szCs w:val="18"/>
              </w:rPr>
            </w:pPr>
            <w:r w:rsidRPr="00853BDB">
              <w:rPr>
                <w:rFonts w:cs="Arial"/>
                <w:bCs/>
                <w:sz w:val="18"/>
                <w:szCs w:val="18"/>
              </w:rPr>
              <w:t>136</w:t>
            </w:r>
          </w:p>
        </w:tc>
        <w:tc>
          <w:tcPr>
            <w:tcW w:w="646" w:type="pct"/>
            <w:tcBorders>
              <w:top w:val="single" w:sz="4" w:space="0" w:color="auto"/>
            </w:tcBorders>
          </w:tcPr>
          <w:p w:rsidR="005F6D5F" w:rsidRPr="00853BDB" w:rsidRDefault="004E1CDD" w:rsidP="00704CC0">
            <w:pPr>
              <w:keepNext/>
              <w:keepLines/>
              <w:tabs>
                <w:tab w:val="left" w:pos="567"/>
                <w:tab w:val="left" w:pos="1134"/>
                <w:tab w:val="left" w:pos="1701"/>
                <w:tab w:val="left" w:pos="2268"/>
              </w:tabs>
              <w:jc w:val="right"/>
              <w:rPr>
                <w:rFonts w:cs="Arial"/>
                <w:bCs/>
                <w:sz w:val="18"/>
                <w:szCs w:val="18"/>
              </w:rPr>
            </w:pPr>
            <w:r w:rsidRPr="00853BDB">
              <w:rPr>
                <w:rFonts w:cs="Arial"/>
                <w:bCs/>
                <w:sz w:val="18"/>
                <w:szCs w:val="18"/>
              </w:rPr>
              <w:t>(24)</w:t>
            </w:r>
          </w:p>
        </w:tc>
        <w:tc>
          <w:tcPr>
            <w:tcW w:w="647" w:type="pct"/>
            <w:tcBorders>
              <w:top w:val="single" w:sz="4" w:space="0" w:color="auto"/>
            </w:tcBorders>
          </w:tcPr>
          <w:p w:rsidR="005F6D5F" w:rsidRPr="00853BDB" w:rsidRDefault="004E1CDD" w:rsidP="00704CC0">
            <w:pPr>
              <w:keepNext/>
              <w:keepLines/>
              <w:tabs>
                <w:tab w:val="left" w:pos="567"/>
                <w:tab w:val="left" w:pos="1134"/>
                <w:tab w:val="left" w:pos="1701"/>
                <w:tab w:val="left" w:pos="2268"/>
              </w:tabs>
              <w:jc w:val="right"/>
              <w:rPr>
                <w:rFonts w:cs="Arial"/>
                <w:bCs/>
                <w:sz w:val="18"/>
                <w:szCs w:val="18"/>
              </w:rPr>
            </w:pPr>
            <w:r w:rsidRPr="00853BDB">
              <w:rPr>
                <w:rFonts w:cs="Arial"/>
                <w:bCs/>
                <w:sz w:val="18"/>
                <w:szCs w:val="18"/>
              </w:rPr>
              <w:t>(22)</w:t>
            </w:r>
          </w:p>
        </w:tc>
      </w:tr>
      <w:tr w:rsidR="004E1CDD" w:rsidRPr="00A76890" w:rsidTr="00562F9C">
        <w:trPr>
          <w:trHeight w:val="994"/>
        </w:trPr>
        <w:tc>
          <w:tcPr>
            <w:tcW w:w="2416" w:type="pct"/>
          </w:tcPr>
          <w:p w:rsidR="004E1CDD" w:rsidRPr="00853BDB" w:rsidRDefault="004E1CDD" w:rsidP="00704CC0">
            <w:pPr>
              <w:keepNext/>
              <w:keepLines/>
              <w:tabs>
                <w:tab w:val="left" w:pos="567"/>
                <w:tab w:val="left" w:pos="1134"/>
                <w:tab w:val="left" w:pos="1701"/>
                <w:tab w:val="left" w:pos="2268"/>
              </w:tabs>
              <w:ind w:left="1701"/>
              <w:rPr>
                <w:rFonts w:cs="Arial"/>
                <w:sz w:val="18"/>
                <w:szCs w:val="18"/>
              </w:rPr>
            </w:pPr>
            <w:r w:rsidRPr="00853BDB">
              <w:rPr>
                <w:rFonts w:cs="Arial"/>
                <w:sz w:val="18"/>
                <w:szCs w:val="18"/>
              </w:rPr>
              <w:t>Disbursement of investor directors’ fees (including expenses) received from</w:t>
            </w:r>
            <w:r w:rsidR="00AD42D0" w:rsidRPr="00853BDB">
              <w:rPr>
                <w:rFonts w:cs="Arial"/>
                <w:sz w:val="18"/>
                <w:szCs w:val="18"/>
              </w:rPr>
              <w:t xml:space="preserve"> </w:t>
            </w:r>
            <w:r w:rsidRPr="00853BDB">
              <w:rPr>
                <w:rFonts w:cs="Arial"/>
                <w:sz w:val="18"/>
                <w:szCs w:val="18"/>
              </w:rPr>
              <w:t>ClinTec</w:t>
            </w:r>
          </w:p>
          <w:p w:rsidR="004E1CDD" w:rsidRPr="00853BDB" w:rsidRDefault="004E1CDD" w:rsidP="00704CC0">
            <w:pPr>
              <w:keepNext/>
              <w:keepLines/>
              <w:numPr>
                <w:ilvl w:val="0"/>
                <w:numId w:val="2"/>
              </w:numPr>
              <w:tabs>
                <w:tab w:val="left" w:pos="567"/>
                <w:tab w:val="left" w:pos="1134"/>
                <w:tab w:val="left" w:pos="1701"/>
                <w:tab w:val="left" w:pos="2268"/>
              </w:tabs>
              <w:ind w:left="2058" w:hanging="357"/>
              <w:rPr>
                <w:rFonts w:cs="Arial"/>
                <w:sz w:val="18"/>
                <w:szCs w:val="18"/>
              </w:rPr>
            </w:pPr>
            <w:r w:rsidRPr="00853BDB">
              <w:rPr>
                <w:rFonts w:cs="Arial"/>
                <w:sz w:val="18"/>
                <w:szCs w:val="18"/>
              </w:rPr>
              <w:t>Gaurav Burman</w:t>
            </w:r>
          </w:p>
        </w:tc>
        <w:tc>
          <w:tcPr>
            <w:tcW w:w="646" w:type="pct"/>
            <w:vAlign w:val="bottom"/>
          </w:tcPr>
          <w:p w:rsidR="004E1CDD" w:rsidRPr="00853BDB" w:rsidRDefault="00D76CF0" w:rsidP="00704CC0">
            <w:pPr>
              <w:keepNext/>
              <w:keepLines/>
              <w:tabs>
                <w:tab w:val="left" w:pos="567"/>
                <w:tab w:val="left" w:pos="1134"/>
                <w:tab w:val="left" w:pos="1701"/>
                <w:tab w:val="left" w:pos="2268"/>
              </w:tabs>
              <w:jc w:val="right"/>
              <w:rPr>
                <w:rFonts w:cs="Arial"/>
                <w:b/>
                <w:sz w:val="18"/>
                <w:szCs w:val="18"/>
              </w:rPr>
            </w:pPr>
            <w:r w:rsidRPr="00853BDB">
              <w:rPr>
                <w:rFonts w:cs="Arial"/>
                <w:b/>
                <w:sz w:val="18"/>
                <w:szCs w:val="18"/>
              </w:rPr>
              <w:t>-</w:t>
            </w:r>
          </w:p>
        </w:tc>
        <w:tc>
          <w:tcPr>
            <w:tcW w:w="646" w:type="pct"/>
            <w:vAlign w:val="bottom"/>
          </w:tcPr>
          <w:p w:rsidR="004E1CDD" w:rsidRPr="00853BDB" w:rsidRDefault="004E1CDD" w:rsidP="00704CC0">
            <w:pPr>
              <w:keepNext/>
              <w:keepLines/>
              <w:tabs>
                <w:tab w:val="left" w:pos="567"/>
                <w:tab w:val="left" w:pos="1134"/>
                <w:tab w:val="left" w:pos="1701"/>
                <w:tab w:val="left" w:pos="2268"/>
              </w:tabs>
              <w:jc w:val="right"/>
              <w:rPr>
                <w:rFonts w:cs="Arial"/>
                <w:sz w:val="18"/>
                <w:szCs w:val="18"/>
              </w:rPr>
            </w:pPr>
            <w:r w:rsidRPr="00853BDB">
              <w:rPr>
                <w:rFonts w:cs="Arial"/>
                <w:sz w:val="18"/>
                <w:szCs w:val="18"/>
              </w:rPr>
              <w:t>17</w:t>
            </w:r>
          </w:p>
        </w:tc>
        <w:tc>
          <w:tcPr>
            <w:tcW w:w="646" w:type="pct"/>
            <w:vAlign w:val="bottom"/>
          </w:tcPr>
          <w:p w:rsidR="004E1CDD" w:rsidRPr="00853BDB" w:rsidRDefault="00D76CF0" w:rsidP="00704CC0">
            <w:pPr>
              <w:keepNext/>
              <w:keepLines/>
              <w:tabs>
                <w:tab w:val="left" w:pos="567"/>
                <w:tab w:val="left" w:pos="1134"/>
                <w:tab w:val="left" w:pos="1701"/>
                <w:tab w:val="left" w:pos="2268"/>
              </w:tabs>
              <w:jc w:val="right"/>
              <w:rPr>
                <w:rFonts w:cs="Arial"/>
                <w:b/>
                <w:sz w:val="18"/>
                <w:szCs w:val="18"/>
              </w:rPr>
            </w:pPr>
            <w:r w:rsidRPr="00853BDB">
              <w:rPr>
                <w:rFonts w:cs="Arial"/>
                <w:b/>
                <w:sz w:val="18"/>
                <w:szCs w:val="18"/>
              </w:rPr>
              <w:t>-</w:t>
            </w:r>
          </w:p>
        </w:tc>
        <w:tc>
          <w:tcPr>
            <w:tcW w:w="647" w:type="pct"/>
            <w:vAlign w:val="bottom"/>
          </w:tcPr>
          <w:p w:rsidR="004E1CDD" w:rsidRPr="00853BDB" w:rsidRDefault="004E1CDD" w:rsidP="00704CC0">
            <w:pPr>
              <w:keepNext/>
              <w:keepLines/>
              <w:tabs>
                <w:tab w:val="left" w:pos="567"/>
                <w:tab w:val="left" w:pos="1134"/>
                <w:tab w:val="left" w:pos="1701"/>
                <w:tab w:val="left" w:pos="2268"/>
              </w:tabs>
              <w:jc w:val="right"/>
              <w:outlineLvl w:val="1"/>
              <w:rPr>
                <w:rFonts w:cs="Arial"/>
                <w:sz w:val="18"/>
                <w:szCs w:val="18"/>
              </w:rPr>
            </w:pPr>
          </w:p>
          <w:p w:rsidR="004E1CDD" w:rsidRPr="00853BDB" w:rsidRDefault="004E1CDD" w:rsidP="00704CC0">
            <w:pPr>
              <w:keepNext/>
              <w:keepLines/>
              <w:tabs>
                <w:tab w:val="left" w:pos="567"/>
                <w:tab w:val="left" w:pos="1134"/>
                <w:tab w:val="left" w:pos="1701"/>
                <w:tab w:val="left" w:pos="2268"/>
              </w:tabs>
              <w:jc w:val="right"/>
              <w:outlineLvl w:val="1"/>
              <w:rPr>
                <w:rFonts w:cs="Arial"/>
                <w:sz w:val="18"/>
                <w:szCs w:val="18"/>
              </w:rPr>
            </w:pPr>
          </w:p>
          <w:p w:rsidR="004E1CDD" w:rsidRPr="00853BDB" w:rsidRDefault="004E1CDD" w:rsidP="00704CC0">
            <w:pPr>
              <w:keepNext/>
              <w:keepLines/>
              <w:tabs>
                <w:tab w:val="left" w:pos="567"/>
                <w:tab w:val="left" w:pos="1134"/>
                <w:tab w:val="left" w:pos="1701"/>
                <w:tab w:val="left" w:pos="2268"/>
              </w:tabs>
              <w:jc w:val="right"/>
              <w:outlineLvl w:val="1"/>
              <w:rPr>
                <w:rFonts w:cs="Arial"/>
                <w:sz w:val="18"/>
                <w:szCs w:val="18"/>
              </w:rPr>
            </w:pPr>
          </w:p>
          <w:p w:rsidR="004E1CDD" w:rsidRPr="00853BDB" w:rsidRDefault="004E1CDD" w:rsidP="00704CC0">
            <w:pPr>
              <w:keepNext/>
              <w:keepLines/>
              <w:tabs>
                <w:tab w:val="left" w:pos="567"/>
                <w:tab w:val="left" w:pos="1134"/>
                <w:tab w:val="left" w:pos="1701"/>
                <w:tab w:val="left" w:pos="2268"/>
              </w:tabs>
              <w:jc w:val="right"/>
              <w:outlineLvl w:val="1"/>
              <w:rPr>
                <w:rFonts w:cs="Arial"/>
                <w:sz w:val="18"/>
                <w:szCs w:val="18"/>
              </w:rPr>
            </w:pPr>
          </w:p>
          <w:p w:rsidR="004E1CDD" w:rsidRPr="00853BDB" w:rsidRDefault="004E1CDD" w:rsidP="00704CC0">
            <w:pPr>
              <w:keepNext/>
              <w:keepLines/>
              <w:tabs>
                <w:tab w:val="left" w:pos="567"/>
                <w:tab w:val="left" w:pos="1134"/>
                <w:tab w:val="left" w:pos="1701"/>
                <w:tab w:val="left" w:pos="2268"/>
              </w:tabs>
              <w:jc w:val="right"/>
              <w:rPr>
                <w:rFonts w:cs="Arial"/>
                <w:sz w:val="18"/>
                <w:szCs w:val="18"/>
              </w:rPr>
            </w:pPr>
            <w:r w:rsidRPr="00853BDB">
              <w:rPr>
                <w:rFonts w:cs="Arial"/>
                <w:sz w:val="18"/>
                <w:szCs w:val="18"/>
              </w:rPr>
              <w:t>(4)</w:t>
            </w:r>
          </w:p>
        </w:tc>
      </w:tr>
      <w:tr w:rsidR="004E1CDD" w:rsidRPr="00A76890" w:rsidTr="00562F9C">
        <w:tc>
          <w:tcPr>
            <w:tcW w:w="2416" w:type="pct"/>
          </w:tcPr>
          <w:p w:rsidR="004E1CDD" w:rsidRPr="00853BDB" w:rsidRDefault="004E1CDD" w:rsidP="00704CC0">
            <w:pPr>
              <w:numPr>
                <w:ilvl w:val="0"/>
                <w:numId w:val="2"/>
              </w:numPr>
              <w:tabs>
                <w:tab w:val="left" w:pos="567"/>
                <w:tab w:val="left" w:pos="1134"/>
                <w:tab w:val="left" w:pos="1701"/>
                <w:tab w:val="left" w:pos="2268"/>
              </w:tabs>
              <w:ind w:left="2058" w:hanging="357"/>
              <w:rPr>
                <w:rFonts w:cs="Arial"/>
                <w:sz w:val="18"/>
                <w:szCs w:val="18"/>
              </w:rPr>
            </w:pPr>
            <w:r w:rsidRPr="00853BDB">
              <w:rPr>
                <w:rFonts w:cs="Arial"/>
                <w:sz w:val="18"/>
                <w:szCs w:val="18"/>
              </w:rPr>
              <w:t>James Norman Hauslein</w:t>
            </w:r>
          </w:p>
        </w:tc>
        <w:tc>
          <w:tcPr>
            <w:tcW w:w="646" w:type="pct"/>
            <w:tcBorders>
              <w:bottom w:val="single" w:sz="4" w:space="0" w:color="auto"/>
            </w:tcBorders>
            <w:vAlign w:val="bottom"/>
          </w:tcPr>
          <w:p w:rsidR="004E1CDD" w:rsidRPr="00853BDB" w:rsidRDefault="00D76CF0" w:rsidP="00704CC0">
            <w:pPr>
              <w:tabs>
                <w:tab w:val="left" w:pos="567"/>
                <w:tab w:val="left" w:pos="1134"/>
                <w:tab w:val="left" w:pos="1701"/>
                <w:tab w:val="left" w:pos="2268"/>
              </w:tabs>
              <w:jc w:val="right"/>
              <w:rPr>
                <w:rFonts w:cs="Arial"/>
                <w:b/>
                <w:sz w:val="18"/>
                <w:szCs w:val="18"/>
              </w:rPr>
            </w:pPr>
            <w:r w:rsidRPr="00853BDB">
              <w:rPr>
                <w:rFonts w:cs="Arial"/>
                <w:b/>
                <w:sz w:val="18"/>
                <w:szCs w:val="18"/>
              </w:rPr>
              <w:t>-</w:t>
            </w:r>
          </w:p>
        </w:tc>
        <w:tc>
          <w:tcPr>
            <w:tcW w:w="646" w:type="pct"/>
            <w:tcBorders>
              <w:bottom w:val="single" w:sz="4" w:space="0" w:color="auto"/>
            </w:tcBorders>
            <w:vAlign w:val="bottom"/>
          </w:tcPr>
          <w:p w:rsidR="004E1CDD" w:rsidRPr="00853BDB" w:rsidRDefault="004E1CDD" w:rsidP="00704CC0">
            <w:pPr>
              <w:tabs>
                <w:tab w:val="left" w:pos="567"/>
                <w:tab w:val="left" w:pos="1134"/>
                <w:tab w:val="left" w:pos="1701"/>
                <w:tab w:val="left" w:pos="2268"/>
              </w:tabs>
              <w:jc w:val="right"/>
              <w:rPr>
                <w:rFonts w:cs="Arial"/>
                <w:sz w:val="18"/>
                <w:szCs w:val="18"/>
              </w:rPr>
            </w:pPr>
            <w:r w:rsidRPr="00853BDB">
              <w:rPr>
                <w:rFonts w:cs="Arial"/>
                <w:sz w:val="18"/>
                <w:szCs w:val="18"/>
              </w:rPr>
              <w:t>17</w:t>
            </w:r>
          </w:p>
        </w:tc>
        <w:tc>
          <w:tcPr>
            <w:tcW w:w="646" w:type="pct"/>
            <w:tcBorders>
              <w:bottom w:val="single" w:sz="4" w:space="0" w:color="auto"/>
            </w:tcBorders>
            <w:vAlign w:val="bottom"/>
          </w:tcPr>
          <w:p w:rsidR="004E1CDD" w:rsidRPr="00853BDB" w:rsidRDefault="00D76CF0" w:rsidP="00704CC0">
            <w:pPr>
              <w:tabs>
                <w:tab w:val="left" w:pos="567"/>
                <w:tab w:val="left" w:pos="1134"/>
                <w:tab w:val="left" w:pos="1701"/>
                <w:tab w:val="left" w:pos="2268"/>
              </w:tabs>
              <w:jc w:val="right"/>
              <w:rPr>
                <w:rFonts w:cs="Arial"/>
                <w:b/>
                <w:sz w:val="18"/>
                <w:szCs w:val="18"/>
              </w:rPr>
            </w:pPr>
            <w:r w:rsidRPr="00853BDB">
              <w:rPr>
                <w:rFonts w:cs="Arial"/>
                <w:b/>
                <w:sz w:val="18"/>
                <w:szCs w:val="18"/>
              </w:rPr>
              <w:t>-</w:t>
            </w:r>
          </w:p>
        </w:tc>
        <w:tc>
          <w:tcPr>
            <w:tcW w:w="647" w:type="pct"/>
            <w:tcBorders>
              <w:bottom w:val="single" w:sz="4" w:space="0" w:color="auto"/>
            </w:tcBorders>
            <w:vAlign w:val="bottom"/>
          </w:tcPr>
          <w:p w:rsidR="004E1CDD" w:rsidRPr="00853BDB" w:rsidRDefault="004E1CDD" w:rsidP="00704CC0">
            <w:pPr>
              <w:tabs>
                <w:tab w:val="left" w:pos="567"/>
                <w:tab w:val="left" w:pos="1134"/>
                <w:tab w:val="left" w:pos="1701"/>
                <w:tab w:val="left" w:pos="2268"/>
              </w:tabs>
              <w:jc w:val="right"/>
              <w:rPr>
                <w:rFonts w:cs="Arial"/>
                <w:sz w:val="18"/>
                <w:szCs w:val="18"/>
              </w:rPr>
            </w:pPr>
            <w:r w:rsidRPr="00853BDB">
              <w:rPr>
                <w:rFonts w:cs="Arial"/>
                <w:sz w:val="18"/>
                <w:szCs w:val="18"/>
              </w:rPr>
              <w:t>(4)</w:t>
            </w:r>
          </w:p>
        </w:tc>
      </w:tr>
    </w:tbl>
    <w:p w:rsidR="0092140F" w:rsidRPr="00A76890" w:rsidRDefault="00853BDB" w:rsidP="00704CC0">
      <w:pPr>
        <w:pStyle w:val="Normal4-Sub-sub-para"/>
        <w:keepNext/>
        <w:keepLines/>
        <w:spacing w:after="60" w:line="240" w:lineRule="auto"/>
        <w:ind w:left="1701" w:hanging="567"/>
      </w:pPr>
      <w:r>
        <w:t>(b)</w:t>
      </w:r>
      <w:r>
        <w:tab/>
      </w:r>
      <w:r w:rsidR="0092140F" w:rsidRPr="00A76890">
        <w:t>Transactions made during the year</w:t>
      </w:r>
      <w:r w:rsidR="00B63E9C" w:rsidRPr="00A76890">
        <w:t xml:space="preserve"> </w:t>
      </w:r>
      <w:r w:rsidR="0092140F" w:rsidRPr="00A76890">
        <w:t>with related parties other than those with key managerial personnel are as follows:</w:t>
      </w:r>
    </w:p>
    <w:tbl>
      <w:tblPr>
        <w:tblW w:w="8953" w:type="dxa"/>
        <w:tblLayout w:type="fixed"/>
        <w:tblCellMar>
          <w:top w:w="28" w:type="dxa"/>
          <w:left w:w="57" w:type="dxa"/>
          <w:bottom w:w="28" w:type="dxa"/>
          <w:right w:w="57" w:type="dxa"/>
        </w:tblCellMar>
        <w:tblLook w:val="01E0"/>
      </w:tblPr>
      <w:tblGrid>
        <w:gridCol w:w="4325"/>
        <w:gridCol w:w="1157"/>
        <w:gridCol w:w="1159"/>
        <w:gridCol w:w="1157"/>
        <w:gridCol w:w="1155"/>
      </w:tblGrid>
      <w:tr w:rsidR="0092140F" w:rsidRPr="00C76328" w:rsidTr="00562F9C">
        <w:trPr>
          <w:tblHeader/>
        </w:trPr>
        <w:tc>
          <w:tcPr>
            <w:tcW w:w="2416" w:type="pct"/>
            <w:vAlign w:val="bottom"/>
          </w:tcPr>
          <w:p w:rsidR="0092140F" w:rsidRPr="00C76328" w:rsidRDefault="0092140F" w:rsidP="00704CC0">
            <w:pPr>
              <w:keepNext/>
              <w:keepLines/>
              <w:tabs>
                <w:tab w:val="left" w:pos="567"/>
                <w:tab w:val="left" w:pos="1134"/>
                <w:tab w:val="left" w:pos="1701"/>
                <w:tab w:val="left" w:pos="2268"/>
              </w:tabs>
              <w:ind w:left="1701" w:firstLine="72"/>
              <w:rPr>
                <w:rFonts w:cs="Arial"/>
                <w:b/>
                <w:sz w:val="18"/>
                <w:szCs w:val="18"/>
              </w:rPr>
            </w:pPr>
            <w:r w:rsidRPr="00C76328">
              <w:rPr>
                <w:rFonts w:cs="Arial"/>
                <w:b/>
                <w:sz w:val="18"/>
                <w:szCs w:val="18"/>
              </w:rPr>
              <w:t>Nature of transaction</w:t>
            </w:r>
          </w:p>
        </w:tc>
        <w:tc>
          <w:tcPr>
            <w:tcW w:w="1293" w:type="pct"/>
            <w:gridSpan w:val="2"/>
            <w:vAlign w:val="bottom"/>
          </w:tcPr>
          <w:p w:rsidR="0092140F" w:rsidRPr="00C76328" w:rsidRDefault="0092140F" w:rsidP="00704CC0">
            <w:pPr>
              <w:keepNext/>
              <w:keepLines/>
              <w:tabs>
                <w:tab w:val="left" w:pos="567"/>
                <w:tab w:val="left" w:pos="1134"/>
                <w:tab w:val="left" w:pos="1701"/>
                <w:tab w:val="left" w:pos="2268"/>
              </w:tabs>
              <w:jc w:val="center"/>
              <w:rPr>
                <w:rFonts w:cs="Arial"/>
                <w:b/>
                <w:sz w:val="18"/>
                <w:szCs w:val="18"/>
              </w:rPr>
            </w:pPr>
            <w:r w:rsidRPr="00C76328">
              <w:rPr>
                <w:rFonts w:cs="Arial"/>
                <w:b/>
                <w:sz w:val="18"/>
                <w:szCs w:val="18"/>
              </w:rPr>
              <w:t>Amount</w:t>
            </w:r>
          </w:p>
        </w:tc>
        <w:tc>
          <w:tcPr>
            <w:tcW w:w="1292" w:type="pct"/>
            <w:gridSpan w:val="2"/>
            <w:vAlign w:val="bottom"/>
          </w:tcPr>
          <w:p w:rsidR="0092140F" w:rsidRPr="00C76328" w:rsidRDefault="0092140F" w:rsidP="00704CC0">
            <w:pPr>
              <w:keepNext/>
              <w:keepLines/>
              <w:tabs>
                <w:tab w:val="left" w:pos="567"/>
                <w:tab w:val="left" w:pos="1134"/>
                <w:tab w:val="left" w:pos="1701"/>
                <w:tab w:val="left" w:pos="2268"/>
              </w:tabs>
              <w:jc w:val="center"/>
              <w:rPr>
                <w:rFonts w:cs="Arial"/>
                <w:b/>
                <w:sz w:val="18"/>
                <w:szCs w:val="18"/>
              </w:rPr>
            </w:pPr>
            <w:r w:rsidRPr="00C76328">
              <w:rPr>
                <w:rFonts w:cs="Arial"/>
                <w:b/>
                <w:sz w:val="18"/>
                <w:szCs w:val="18"/>
              </w:rPr>
              <w:t>Debit/ (Credit) balance</w:t>
            </w:r>
            <w:r w:rsidRPr="00C76328">
              <w:rPr>
                <w:rFonts w:cs="Arial"/>
                <w:i/>
                <w:sz w:val="18"/>
                <w:szCs w:val="18"/>
              </w:rPr>
              <w:t>(unsecured)</w:t>
            </w:r>
          </w:p>
        </w:tc>
      </w:tr>
      <w:tr w:rsidR="0092140F" w:rsidRPr="00C76328" w:rsidTr="00562F9C">
        <w:trPr>
          <w:tblHeader/>
        </w:trPr>
        <w:tc>
          <w:tcPr>
            <w:tcW w:w="2416" w:type="pct"/>
          </w:tcPr>
          <w:p w:rsidR="0092140F" w:rsidRPr="00C76328" w:rsidRDefault="0092140F" w:rsidP="00704CC0">
            <w:pPr>
              <w:keepNext/>
              <w:keepLines/>
              <w:tabs>
                <w:tab w:val="left" w:pos="567"/>
                <w:tab w:val="left" w:pos="1134"/>
                <w:tab w:val="left" w:pos="1701"/>
                <w:tab w:val="left" w:pos="2268"/>
              </w:tabs>
              <w:ind w:left="1701" w:firstLine="72"/>
              <w:rPr>
                <w:rFonts w:cs="Arial"/>
                <w:b/>
                <w:sz w:val="18"/>
                <w:szCs w:val="18"/>
                <w:lang w:val="en-GB"/>
              </w:rPr>
            </w:pPr>
          </w:p>
        </w:tc>
        <w:tc>
          <w:tcPr>
            <w:tcW w:w="646" w:type="pct"/>
            <w:vAlign w:val="bottom"/>
          </w:tcPr>
          <w:p w:rsidR="0092140F" w:rsidRPr="00C76328" w:rsidRDefault="0092140F" w:rsidP="00704CC0">
            <w:pPr>
              <w:keepNext/>
              <w:keepLines/>
              <w:tabs>
                <w:tab w:val="left" w:pos="567"/>
                <w:tab w:val="left" w:pos="1134"/>
                <w:tab w:val="left" w:pos="1701"/>
                <w:tab w:val="left" w:pos="2268"/>
              </w:tabs>
              <w:jc w:val="right"/>
              <w:rPr>
                <w:rFonts w:cs="Arial"/>
                <w:b/>
                <w:sz w:val="18"/>
                <w:szCs w:val="18"/>
              </w:rPr>
            </w:pPr>
            <w:r w:rsidRPr="00C76328">
              <w:rPr>
                <w:rFonts w:cs="Arial"/>
                <w:b/>
                <w:sz w:val="18"/>
                <w:szCs w:val="18"/>
              </w:rPr>
              <w:t xml:space="preserve"> year ended 31 August 201</w:t>
            </w:r>
            <w:r w:rsidR="005F6D5F" w:rsidRPr="00C76328">
              <w:rPr>
                <w:rFonts w:cs="Arial"/>
                <w:b/>
                <w:sz w:val="18"/>
                <w:szCs w:val="18"/>
              </w:rPr>
              <w:t>3</w:t>
            </w:r>
          </w:p>
        </w:tc>
        <w:tc>
          <w:tcPr>
            <w:tcW w:w="647" w:type="pct"/>
            <w:vAlign w:val="bottom"/>
          </w:tcPr>
          <w:p w:rsidR="0092140F" w:rsidRPr="00C76328" w:rsidRDefault="0092140F" w:rsidP="00704CC0">
            <w:pPr>
              <w:keepNext/>
              <w:keepLines/>
              <w:tabs>
                <w:tab w:val="left" w:pos="567"/>
                <w:tab w:val="left" w:pos="1134"/>
                <w:tab w:val="left" w:pos="1701"/>
                <w:tab w:val="left" w:pos="2268"/>
              </w:tabs>
              <w:jc w:val="right"/>
              <w:rPr>
                <w:rFonts w:cs="Arial"/>
                <w:sz w:val="18"/>
                <w:szCs w:val="18"/>
              </w:rPr>
            </w:pPr>
            <w:r w:rsidRPr="00C76328">
              <w:rPr>
                <w:rFonts w:cs="Arial"/>
                <w:sz w:val="18"/>
                <w:szCs w:val="18"/>
              </w:rPr>
              <w:t>year ended 31 August 201</w:t>
            </w:r>
            <w:r w:rsidR="005F6D5F" w:rsidRPr="00C76328">
              <w:rPr>
                <w:rFonts w:cs="Arial"/>
                <w:sz w:val="18"/>
                <w:szCs w:val="18"/>
              </w:rPr>
              <w:t>2</w:t>
            </w:r>
          </w:p>
        </w:tc>
        <w:tc>
          <w:tcPr>
            <w:tcW w:w="646" w:type="pct"/>
            <w:vAlign w:val="bottom"/>
          </w:tcPr>
          <w:p w:rsidR="0092140F" w:rsidRPr="00C76328" w:rsidRDefault="0092140F" w:rsidP="00704CC0">
            <w:pPr>
              <w:keepNext/>
              <w:keepLines/>
              <w:tabs>
                <w:tab w:val="left" w:pos="567"/>
                <w:tab w:val="left" w:pos="1134"/>
                <w:tab w:val="left" w:pos="1701"/>
                <w:tab w:val="left" w:pos="2268"/>
              </w:tabs>
              <w:jc w:val="right"/>
              <w:rPr>
                <w:rFonts w:cs="Arial"/>
                <w:b/>
                <w:sz w:val="18"/>
                <w:szCs w:val="18"/>
              </w:rPr>
            </w:pPr>
            <w:r w:rsidRPr="00C76328">
              <w:rPr>
                <w:rFonts w:cs="Arial"/>
                <w:b/>
                <w:sz w:val="18"/>
                <w:szCs w:val="18"/>
              </w:rPr>
              <w:t>As at 31 August 201</w:t>
            </w:r>
            <w:r w:rsidR="005F6D5F" w:rsidRPr="00C76328">
              <w:rPr>
                <w:rFonts w:cs="Arial"/>
                <w:b/>
                <w:sz w:val="18"/>
                <w:szCs w:val="18"/>
              </w:rPr>
              <w:t>3</w:t>
            </w:r>
          </w:p>
        </w:tc>
        <w:tc>
          <w:tcPr>
            <w:tcW w:w="646" w:type="pct"/>
            <w:vAlign w:val="bottom"/>
          </w:tcPr>
          <w:p w:rsidR="0092140F" w:rsidRPr="00C76328" w:rsidRDefault="0092140F" w:rsidP="00704CC0">
            <w:pPr>
              <w:keepNext/>
              <w:keepLines/>
              <w:tabs>
                <w:tab w:val="left" w:pos="567"/>
                <w:tab w:val="left" w:pos="1134"/>
                <w:tab w:val="left" w:pos="1701"/>
                <w:tab w:val="left" w:pos="2268"/>
              </w:tabs>
              <w:jc w:val="right"/>
              <w:rPr>
                <w:rFonts w:cs="Arial"/>
                <w:sz w:val="18"/>
                <w:szCs w:val="18"/>
              </w:rPr>
            </w:pPr>
            <w:r w:rsidRPr="00C76328">
              <w:rPr>
                <w:rFonts w:cs="Arial"/>
                <w:sz w:val="18"/>
                <w:szCs w:val="18"/>
              </w:rPr>
              <w:t>As at 31 August 201</w:t>
            </w:r>
            <w:r w:rsidR="005F6D5F" w:rsidRPr="00C76328">
              <w:rPr>
                <w:rFonts w:cs="Arial"/>
                <w:sz w:val="18"/>
                <w:szCs w:val="18"/>
              </w:rPr>
              <w:t>2</w:t>
            </w:r>
          </w:p>
        </w:tc>
      </w:tr>
      <w:tr w:rsidR="0092140F" w:rsidRPr="00C76328" w:rsidTr="00562F9C">
        <w:trPr>
          <w:tblHeader/>
        </w:trPr>
        <w:tc>
          <w:tcPr>
            <w:tcW w:w="2416" w:type="pct"/>
          </w:tcPr>
          <w:p w:rsidR="0092140F" w:rsidRPr="00C76328" w:rsidRDefault="0092140F" w:rsidP="00704CC0">
            <w:pPr>
              <w:keepNext/>
              <w:keepLines/>
              <w:tabs>
                <w:tab w:val="left" w:pos="567"/>
                <w:tab w:val="left" w:pos="1134"/>
                <w:tab w:val="left" w:pos="1701"/>
                <w:tab w:val="left" w:pos="2268"/>
              </w:tabs>
              <w:ind w:left="1701" w:firstLine="72"/>
              <w:rPr>
                <w:rFonts w:cs="Arial"/>
                <w:sz w:val="18"/>
                <w:szCs w:val="18"/>
              </w:rPr>
            </w:pPr>
          </w:p>
        </w:tc>
        <w:tc>
          <w:tcPr>
            <w:tcW w:w="646" w:type="pct"/>
          </w:tcPr>
          <w:p w:rsidR="0092140F" w:rsidRPr="00C76328" w:rsidRDefault="0092140F" w:rsidP="00704CC0">
            <w:pPr>
              <w:keepNext/>
              <w:keepLines/>
              <w:tabs>
                <w:tab w:val="left" w:pos="567"/>
                <w:tab w:val="left" w:pos="1134"/>
                <w:tab w:val="left" w:pos="1701"/>
                <w:tab w:val="left" w:pos="2268"/>
              </w:tabs>
              <w:jc w:val="right"/>
              <w:rPr>
                <w:rFonts w:cs="Arial"/>
                <w:b/>
                <w:sz w:val="18"/>
                <w:szCs w:val="18"/>
              </w:rPr>
            </w:pPr>
            <w:r w:rsidRPr="00C76328">
              <w:rPr>
                <w:rFonts w:cs="Arial"/>
                <w:b/>
                <w:bCs/>
                <w:sz w:val="18"/>
                <w:szCs w:val="18"/>
              </w:rPr>
              <w:t>£'000</w:t>
            </w:r>
          </w:p>
        </w:tc>
        <w:tc>
          <w:tcPr>
            <w:tcW w:w="647" w:type="pct"/>
          </w:tcPr>
          <w:p w:rsidR="0092140F" w:rsidRPr="00C76328" w:rsidRDefault="0092140F" w:rsidP="00704CC0">
            <w:pPr>
              <w:keepNext/>
              <w:keepLines/>
              <w:tabs>
                <w:tab w:val="left" w:pos="567"/>
                <w:tab w:val="left" w:pos="1134"/>
                <w:tab w:val="left" w:pos="1701"/>
                <w:tab w:val="left" w:pos="2268"/>
              </w:tabs>
              <w:jc w:val="right"/>
              <w:rPr>
                <w:rFonts w:cs="Arial"/>
                <w:sz w:val="18"/>
                <w:szCs w:val="18"/>
              </w:rPr>
            </w:pPr>
            <w:r w:rsidRPr="00C76328">
              <w:rPr>
                <w:rFonts w:cs="Arial"/>
                <w:bCs/>
                <w:sz w:val="18"/>
                <w:szCs w:val="18"/>
              </w:rPr>
              <w:t>£'000</w:t>
            </w:r>
          </w:p>
        </w:tc>
        <w:tc>
          <w:tcPr>
            <w:tcW w:w="646" w:type="pct"/>
          </w:tcPr>
          <w:p w:rsidR="0092140F" w:rsidRPr="00C76328" w:rsidRDefault="0092140F" w:rsidP="00704CC0">
            <w:pPr>
              <w:keepNext/>
              <w:keepLines/>
              <w:tabs>
                <w:tab w:val="left" w:pos="567"/>
                <w:tab w:val="left" w:pos="1134"/>
                <w:tab w:val="left" w:pos="1701"/>
                <w:tab w:val="left" w:pos="2268"/>
              </w:tabs>
              <w:jc w:val="right"/>
              <w:rPr>
                <w:rFonts w:cs="Arial"/>
                <w:b/>
                <w:sz w:val="18"/>
                <w:szCs w:val="18"/>
              </w:rPr>
            </w:pPr>
            <w:r w:rsidRPr="00C76328">
              <w:rPr>
                <w:rFonts w:cs="Arial"/>
                <w:b/>
                <w:bCs/>
                <w:sz w:val="18"/>
                <w:szCs w:val="18"/>
              </w:rPr>
              <w:t>£'000</w:t>
            </w:r>
          </w:p>
        </w:tc>
        <w:tc>
          <w:tcPr>
            <w:tcW w:w="646" w:type="pct"/>
          </w:tcPr>
          <w:p w:rsidR="0092140F" w:rsidRPr="00C76328" w:rsidRDefault="0092140F" w:rsidP="00704CC0">
            <w:pPr>
              <w:keepNext/>
              <w:keepLines/>
              <w:tabs>
                <w:tab w:val="left" w:pos="567"/>
                <w:tab w:val="left" w:pos="1134"/>
                <w:tab w:val="left" w:pos="1701"/>
                <w:tab w:val="left" w:pos="2268"/>
              </w:tabs>
              <w:jc w:val="right"/>
              <w:rPr>
                <w:rFonts w:cs="Arial"/>
                <w:sz w:val="18"/>
                <w:szCs w:val="18"/>
              </w:rPr>
            </w:pPr>
            <w:r w:rsidRPr="00C76328">
              <w:rPr>
                <w:rFonts w:cs="Arial"/>
                <w:bCs/>
                <w:sz w:val="18"/>
                <w:szCs w:val="18"/>
              </w:rPr>
              <w:t>£'000</w:t>
            </w:r>
          </w:p>
        </w:tc>
      </w:tr>
      <w:tr w:rsidR="0092140F" w:rsidRPr="00C76328" w:rsidTr="00562F9C">
        <w:tc>
          <w:tcPr>
            <w:tcW w:w="2416" w:type="pct"/>
          </w:tcPr>
          <w:p w:rsidR="0092140F" w:rsidRPr="00C76328" w:rsidRDefault="0092140F" w:rsidP="00704CC0">
            <w:pPr>
              <w:pStyle w:val="ListParagraph"/>
              <w:keepNext/>
              <w:keepLines/>
              <w:numPr>
                <w:ilvl w:val="0"/>
                <w:numId w:val="19"/>
              </w:numPr>
              <w:tabs>
                <w:tab w:val="left" w:pos="567"/>
                <w:tab w:val="left" w:pos="1134"/>
                <w:tab w:val="left" w:pos="1701"/>
                <w:tab w:val="left" w:pos="2268"/>
              </w:tabs>
              <w:ind w:left="1985" w:hanging="284"/>
              <w:rPr>
                <w:rFonts w:cs="Arial"/>
                <w:i/>
                <w:sz w:val="18"/>
                <w:szCs w:val="18"/>
              </w:rPr>
            </w:pPr>
            <w:r w:rsidRPr="00C76328">
              <w:rPr>
                <w:rFonts w:cs="Arial"/>
                <w:i/>
                <w:sz w:val="18"/>
                <w:szCs w:val="18"/>
              </w:rPr>
              <w:t xml:space="preserve"> Management fees*:</w:t>
            </w:r>
          </w:p>
        </w:tc>
        <w:tc>
          <w:tcPr>
            <w:tcW w:w="646" w:type="pct"/>
            <w:tcBorders>
              <w:bottom w:val="single" w:sz="4" w:space="0" w:color="auto"/>
            </w:tcBorders>
          </w:tcPr>
          <w:p w:rsidR="0092140F" w:rsidRPr="00C76328" w:rsidRDefault="0092140F" w:rsidP="00704CC0">
            <w:pPr>
              <w:keepNext/>
              <w:keepLines/>
              <w:tabs>
                <w:tab w:val="left" w:pos="567"/>
                <w:tab w:val="left" w:pos="1134"/>
                <w:tab w:val="left" w:pos="1701"/>
                <w:tab w:val="left" w:pos="2268"/>
              </w:tabs>
              <w:jc w:val="right"/>
              <w:rPr>
                <w:rFonts w:cs="Arial"/>
                <w:b/>
                <w:i/>
                <w:sz w:val="18"/>
                <w:szCs w:val="18"/>
              </w:rPr>
            </w:pPr>
          </w:p>
        </w:tc>
        <w:tc>
          <w:tcPr>
            <w:tcW w:w="647" w:type="pct"/>
            <w:tcBorders>
              <w:bottom w:val="single" w:sz="4" w:space="0" w:color="auto"/>
            </w:tcBorders>
          </w:tcPr>
          <w:p w:rsidR="0092140F" w:rsidRPr="00C76328" w:rsidRDefault="0092140F" w:rsidP="00704CC0">
            <w:pPr>
              <w:keepNext/>
              <w:keepLines/>
              <w:tabs>
                <w:tab w:val="left" w:pos="567"/>
                <w:tab w:val="left" w:pos="1134"/>
                <w:tab w:val="left" w:pos="1701"/>
                <w:tab w:val="left" w:pos="2268"/>
              </w:tabs>
              <w:jc w:val="right"/>
              <w:rPr>
                <w:rFonts w:cs="Arial"/>
                <w:sz w:val="18"/>
                <w:szCs w:val="18"/>
              </w:rPr>
            </w:pPr>
          </w:p>
        </w:tc>
        <w:tc>
          <w:tcPr>
            <w:tcW w:w="646" w:type="pct"/>
            <w:tcBorders>
              <w:bottom w:val="single" w:sz="4" w:space="0" w:color="auto"/>
            </w:tcBorders>
          </w:tcPr>
          <w:p w:rsidR="0092140F" w:rsidRPr="00C76328" w:rsidRDefault="0092140F" w:rsidP="00704CC0">
            <w:pPr>
              <w:keepNext/>
              <w:keepLines/>
              <w:tabs>
                <w:tab w:val="left" w:pos="567"/>
                <w:tab w:val="left" w:pos="1134"/>
                <w:tab w:val="left" w:pos="1701"/>
                <w:tab w:val="left" w:pos="2268"/>
              </w:tabs>
              <w:jc w:val="right"/>
              <w:rPr>
                <w:rFonts w:cs="Arial"/>
                <w:b/>
                <w:sz w:val="18"/>
                <w:szCs w:val="18"/>
              </w:rPr>
            </w:pPr>
          </w:p>
        </w:tc>
        <w:tc>
          <w:tcPr>
            <w:tcW w:w="646" w:type="pct"/>
            <w:tcBorders>
              <w:bottom w:val="single" w:sz="4" w:space="0" w:color="auto"/>
            </w:tcBorders>
          </w:tcPr>
          <w:p w:rsidR="0092140F" w:rsidRPr="00C76328" w:rsidRDefault="0092140F" w:rsidP="00704CC0">
            <w:pPr>
              <w:keepNext/>
              <w:keepLines/>
              <w:tabs>
                <w:tab w:val="left" w:pos="567"/>
                <w:tab w:val="left" w:pos="1134"/>
                <w:tab w:val="left" w:pos="1701"/>
                <w:tab w:val="left" w:pos="2268"/>
              </w:tabs>
              <w:jc w:val="right"/>
              <w:rPr>
                <w:rFonts w:cs="Arial"/>
                <w:sz w:val="18"/>
                <w:szCs w:val="18"/>
              </w:rPr>
            </w:pPr>
          </w:p>
        </w:tc>
      </w:tr>
      <w:tr w:rsidR="005F6D5F" w:rsidRPr="00C76328" w:rsidTr="00562F9C">
        <w:tc>
          <w:tcPr>
            <w:tcW w:w="2416" w:type="pct"/>
          </w:tcPr>
          <w:p w:rsidR="005F6D5F" w:rsidRPr="00C76328" w:rsidRDefault="005F6D5F" w:rsidP="00704CC0">
            <w:pPr>
              <w:pStyle w:val="ListParagraph"/>
              <w:keepNext/>
              <w:keepLines/>
              <w:numPr>
                <w:ilvl w:val="0"/>
                <w:numId w:val="2"/>
              </w:numPr>
              <w:tabs>
                <w:tab w:val="left" w:pos="567"/>
                <w:tab w:val="left" w:pos="1134"/>
                <w:tab w:val="left" w:pos="1701"/>
                <w:tab w:val="left" w:pos="2268"/>
              </w:tabs>
              <w:ind w:left="2127" w:hanging="142"/>
              <w:rPr>
                <w:rFonts w:cs="Arial"/>
                <w:sz w:val="18"/>
                <w:szCs w:val="18"/>
              </w:rPr>
            </w:pPr>
            <w:r w:rsidRPr="00C76328">
              <w:rPr>
                <w:rFonts w:cs="Arial"/>
                <w:sz w:val="18"/>
                <w:szCs w:val="18"/>
              </w:rPr>
              <w:t>Paid to Elephant Capital LLP</w:t>
            </w:r>
          </w:p>
        </w:tc>
        <w:tc>
          <w:tcPr>
            <w:tcW w:w="646" w:type="pct"/>
            <w:tcBorders>
              <w:top w:val="single" w:sz="4" w:space="0" w:color="auto"/>
            </w:tcBorders>
            <w:shd w:val="clear" w:color="auto" w:fill="auto"/>
            <w:vAlign w:val="bottom"/>
          </w:tcPr>
          <w:p w:rsidR="005F6D5F" w:rsidRPr="00C76328" w:rsidRDefault="004E1CDD" w:rsidP="00704CC0">
            <w:pPr>
              <w:keepNext/>
              <w:keepLines/>
              <w:tabs>
                <w:tab w:val="left" w:pos="567"/>
                <w:tab w:val="left" w:pos="1134"/>
                <w:tab w:val="left" w:pos="1701"/>
                <w:tab w:val="left" w:pos="2268"/>
              </w:tabs>
              <w:jc w:val="right"/>
              <w:rPr>
                <w:rFonts w:cs="Arial"/>
                <w:b/>
                <w:sz w:val="18"/>
                <w:szCs w:val="18"/>
              </w:rPr>
            </w:pPr>
            <w:r w:rsidRPr="00C76328">
              <w:rPr>
                <w:rFonts w:cs="Arial"/>
                <w:b/>
                <w:sz w:val="18"/>
                <w:szCs w:val="18"/>
              </w:rPr>
              <w:t>170</w:t>
            </w:r>
          </w:p>
        </w:tc>
        <w:tc>
          <w:tcPr>
            <w:tcW w:w="647" w:type="pct"/>
            <w:tcBorders>
              <w:top w:val="single" w:sz="4" w:space="0" w:color="auto"/>
            </w:tcBorders>
            <w:shd w:val="clear" w:color="auto" w:fill="auto"/>
            <w:vAlign w:val="bottom"/>
          </w:tcPr>
          <w:p w:rsidR="005F6D5F" w:rsidRPr="00C76328" w:rsidRDefault="005F6D5F" w:rsidP="00704CC0">
            <w:pPr>
              <w:keepNext/>
              <w:keepLines/>
              <w:tabs>
                <w:tab w:val="left" w:pos="567"/>
                <w:tab w:val="left" w:pos="1134"/>
                <w:tab w:val="left" w:pos="1701"/>
                <w:tab w:val="left" w:pos="2268"/>
              </w:tabs>
              <w:jc w:val="right"/>
              <w:rPr>
                <w:rFonts w:cs="Arial"/>
                <w:sz w:val="18"/>
                <w:szCs w:val="18"/>
              </w:rPr>
            </w:pPr>
            <w:r w:rsidRPr="00C76328">
              <w:rPr>
                <w:rFonts w:cs="Arial"/>
                <w:sz w:val="18"/>
                <w:szCs w:val="18"/>
              </w:rPr>
              <w:t>555</w:t>
            </w:r>
          </w:p>
        </w:tc>
        <w:tc>
          <w:tcPr>
            <w:tcW w:w="646" w:type="pct"/>
            <w:tcBorders>
              <w:top w:val="single" w:sz="4" w:space="0" w:color="auto"/>
            </w:tcBorders>
            <w:vAlign w:val="bottom"/>
          </w:tcPr>
          <w:p w:rsidR="005F6D5F" w:rsidRPr="00C76328" w:rsidRDefault="004E1CDD" w:rsidP="00704CC0">
            <w:pPr>
              <w:keepNext/>
              <w:keepLines/>
              <w:tabs>
                <w:tab w:val="left" w:pos="567"/>
                <w:tab w:val="left" w:pos="1134"/>
                <w:tab w:val="left" w:pos="1701"/>
                <w:tab w:val="left" w:pos="2268"/>
              </w:tabs>
              <w:jc w:val="right"/>
              <w:rPr>
                <w:rFonts w:cs="Arial"/>
                <w:b/>
                <w:sz w:val="18"/>
                <w:szCs w:val="18"/>
              </w:rPr>
            </w:pPr>
            <w:r w:rsidRPr="00C76328">
              <w:rPr>
                <w:rFonts w:cs="Arial"/>
                <w:b/>
                <w:sz w:val="18"/>
                <w:szCs w:val="18"/>
              </w:rPr>
              <w:t>-</w:t>
            </w:r>
          </w:p>
          <w:p w:rsidR="004E1CDD" w:rsidRPr="00C76328" w:rsidRDefault="004E1CDD" w:rsidP="00704CC0">
            <w:pPr>
              <w:keepNext/>
              <w:keepLines/>
              <w:tabs>
                <w:tab w:val="left" w:pos="567"/>
                <w:tab w:val="left" w:pos="1134"/>
                <w:tab w:val="left" w:pos="1701"/>
                <w:tab w:val="left" w:pos="2268"/>
              </w:tabs>
              <w:jc w:val="right"/>
              <w:rPr>
                <w:rFonts w:cs="Arial"/>
                <w:b/>
                <w:sz w:val="18"/>
                <w:szCs w:val="18"/>
              </w:rPr>
            </w:pPr>
          </w:p>
        </w:tc>
        <w:tc>
          <w:tcPr>
            <w:tcW w:w="646" w:type="pct"/>
            <w:tcBorders>
              <w:top w:val="single" w:sz="4" w:space="0" w:color="auto"/>
            </w:tcBorders>
            <w:vAlign w:val="bottom"/>
          </w:tcPr>
          <w:p w:rsidR="005F6D5F" w:rsidRPr="00C76328" w:rsidRDefault="005F6D5F" w:rsidP="00704CC0">
            <w:pPr>
              <w:keepNext/>
              <w:keepLines/>
              <w:tabs>
                <w:tab w:val="left" w:pos="567"/>
                <w:tab w:val="left" w:pos="1134"/>
                <w:tab w:val="left" w:pos="1701"/>
                <w:tab w:val="left" w:pos="2268"/>
              </w:tabs>
              <w:jc w:val="right"/>
              <w:rPr>
                <w:rFonts w:cs="Arial"/>
                <w:sz w:val="18"/>
                <w:szCs w:val="18"/>
              </w:rPr>
            </w:pPr>
            <w:r w:rsidRPr="00C76328">
              <w:rPr>
                <w:rFonts w:cs="Arial"/>
                <w:sz w:val="18"/>
                <w:szCs w:val="18"/>
              </w:rPr>
              <w:t>-</w:t>
            </w:r>
          </w:p>
        </w:tc>
      </w:tr>
      <w:tr w:rsidR="004E1CDD" w:rsidRPr="00C76328" w:rsidTr="00562F9C">
        <w:tc>
          <w:tcPr>
            <w:tcW w:w="2416" w:type="pct"/>
          </w:tcPr>
          <w:p w:rsidR="004E1CDD" w:rsidRPr="00C76328" w:rsidRDefault="004E1CDD" w:rsidP="00704CC0">
            <w:pPr>
              <w:pStyle w:val="ListParagraph"/>
              <w:keepNext/>
              <w:keepLines/>
              <w:numPr>
                <w:ilvl w:val="0"/>
                <w:numId w:val="2"/>
              </w:numPr>
              <w:tabs>
                <w:tab w:val="left" w:pos="567"/>
                <w:tab w:val="left" w:pos="1134"/>
                <w:tab w:val="left" w:pos="1701"/>
                <w:tab w:val="left" w:pos="2268"/>
              </w:tabs>
              <w:ind w:left="2127" w:hanging="142"/>
              <w:rPr>
                <w:rFonts w:cs="Arial"/>
                <w:sz w:val="18"/>
                <w:szCs w:val="18"/>
              </w:rPr>
            </w:pPr>
            <w:r w:rsidRPr="00C76328">
              <w:rPr>
                <w:rFonts w:cs="Arial"/>
                <w:sz w:val="18"/>
                <w:szCs w:val="18"/>
              </w:rPr>
              <w:t>Paid to Elephant India Limited</w:t>
            </w:r>
          </w:p>
        </w:tc>
        <w:tc>
          <w:tcPr>
            <w:tcW w:w="646" w:type="pct"/>
            <w:vAlign w:val="bottom"/>
          </w:tcPr>
          <w:p w:rsidR="004E1CDD" w:rsidRPr="00C76328" w:rsidRDefault="004E1CDD" w:rsidP="00704CC0">
            <w:pPr>
              <w:keepNext/>
              <w:keepLines/>
              <w:tabs>
                <w:tab w:val="left" w:pos="567"/>
                <w:tab w:val="left" w:pos="1134"/>
                <w:tab w:val="left" w:pos="1701"/>
                <w:tab w:val="left" w:pos="2268"/>
              </w:tabs>
              <w:jc w:val="right"/>
              <w:rPr>
                <w:rFonts w:cs="Arial"/>
                <w:b/>
                <w:sz w:val="18"/>
                <w:szCs w:val="18"/>
              </w:rPr>
            </w:pPr>
            <w:r w:rsidRPr="00C76328">
              <w:rPr>
                <w:rFonts w:cs="Arial"/>
                <w:b/>
                <w:sz w:val="18"/>
                <w:szCs w:val="18"/>
              </w:rPr>
              <w:t>270</w:t>
            </w:r>
          </w:p>
        </w:tc>
        <w:tc>
          <w:tcPr>
            <w:tcW w:w="647" w:type="pct"/>
            <w:vAlign w:val="bottom"/>
          </w:tcPr>
          <w:p w:rsidR="004E1CDD" w:rsidRPr="00C76328" w:rsidRDefault="004E1CDD" w:rsidP="00704CC0">
            <w:pPr>
              <w:keepNext/>
              <w:keepLines/>
              <w:tabs>
                <w:tab w:val="left" w:pos="567"/>
                <w:tab w:val="left" w:pos="1134"/>
                <w:tab w:val="left" w:pos="1701"/>
                <w:tab w:val="left" w:pos="2268"/>
              </w:tabs>
              <w:jc w:val="right"/>
              <w:rPr>
                <w:rFonts w:cs="Arial"/>
                <w:sz w:val="18"/>
                <w:szCs w:val="18"/>
              </w:rPr>
            </w:pPr>
            <w:r w:rsidRPr="00C76328">
              <w:rPr>
                <w:rFonts w:cs="Arial"/>
                <w:sz w:val="18"/>
                <w:szCs w:val="18"/>
              </w:rPr>
              <w:t>-</w:t>
            </w:r>
          </w:p>
        </w:tc>
        <w:tc>
          <w:tcPr>
            <w:tcW w:w="646" w:type="pct"/>
            <w:vAlign w:val="bottom"/>
          </w:tcPr>
          <w:p w:rsidR="004E1CDD" w:rsidRPr="00C76328" w:rsidRDefault="004E1CDD" w:rsidP="00704CC0">
            <w:pPr>
              <w:keepNext/>
              <w:keepLines/>
              <w:tabs>
                <w:tab w:val="left" w:pos="567"/>
                <w:tab w:val="left" w:pos="1134"/>
                <w:tab w:val="left" w:pos="1701"/>
                <w:tab w:val="left" w:pos="2268"/>
              </w:tabs>
              <w:jc w:val="right"/>
              <w:rPr>
                <w:rFonts w:cs="Arial"/>
                <w:b/>
                <w:sz w:val="18"/>
                <w:szCs w:val="18"/>
              </w:rPr>
            </w:pPr>
            <w:r w:rsidRPr="00C76328">
              <w:rPr>
                <w:rFonts w:cs="Arial"/>
                <w:b/>
                <w:sz w:val="18"/>
                <w:szCs w:val="18"/>
              </w:rPr>
              <w:t>-</w:t>
            </w:r>
          </w:p>
        </w:tc>
        <w:tc>
          <w:tcPr>
            <w:tcW w:w="646" w:type="pct"/>
            <w:vAlign w:val="bottom"/>
          </w:tcPr>
          <w:p w:rsidR="004E1CDD" w:rsidRPr="00C76328" w:rsidRDefault="004E1CDD" w:rsidP="00704CC0">
            <w:pPr>
              <w:keepNext/>
              <w:keepLines/>
              <w:tabs>
                <w:tab w:val="left" w:pos="567"/>
                <w:tab w:val="left" w:pos="1134"/>
                <w:tab w:val="left" w:pos="1701"/>
                <w:tab w:val="left" w:pos="2268"/>
              </w:tabs>
              <w:jc w:val="right"/>
              <w:rPr>
                <w:rFonts w:cs="Arial"/>
                <w:sz w:val="18"/>
                <w:szCs w:val="18"/>
              </w:rPr>
            </w:pPr>
            <w:r w:rsidRPr="00C76328">
              <w:rPr>
                <w:rFonts w:cs="Arial"/>
                <w:sz w:val="18"/>
                <w:szCs w:val="18"/>
              </w:rPr>
              <w:t>-</w:t>
            </w:r>
          </w:p>
        </w:tc>
      </w:tr>
      <w:tr w:rsidR="004E1CDD" w:rsidRPr="00C76328" w:rsidTr="00562F9C">
        <w:tc>
          <w:tcPr>
            <w:tcW w:w="2416" w:type="pct"/>
          </w:tcPr>
          <w:p w:rsidR="004E1CDD" w:rsidRPr="00C76328" w:rsidRDefault="004E1CDD" w:rsidP="00704CC0">
            <w:pPr>
              <w:pStyle w:val="ListParagraph"/>
              <w:keepNext/>
              <w:keepLines/>
              <w:numPr>
                <w:ilvl w:val="0"/>
                <w:numId w:val="2"/>
              </w:numPr>
              <w:tabs>
                <w:tab w:val="left" w:pos="567"/>
                <w:tab w:val="left" w:pos="1134"/>
                <w:tab w:val="left" w:pos="1701"/>
                <w:tab w:val="left" w:pos="2268"/>
              </w:tabs>
              <w:ind w:left="2127" w:hanging="142"/>
              <w:rPr>
                <w:rFonts w:cs="Arial"/>
                <w:sz w:val="18"/>
                <w:szCs w:val="18"/>
              </w:rPr>
            </w:pPr>
            <w:r w:rsidRPr="00C76328">
              <w:rPr>
                <w:rFonts w:cs="Arial"/>
                <w:sz w:val="18"/>
                <w:szCs w:val="18"/>
              </w:rPr>
              <w:t>Received from Elephant India Finance Private Limited</w:t>
            </w:r>
          </w:p>
        </w:tc>
        <w:tc>
          <w:tcPr>
            <w:tcW w:w="646" w:type="pct"/>
            <w:vAlign w:val="bottom"/>
          </w:tcPr>
          <w:p w:rsidR="004E1CDD" w:rsidRPr="00C76328" w:rsidRDefault="004E1CDD" w:rsidP="00704CC0">
            <w:pPr>
              <w:keepNext/>
              <w:keepLines/>
              <w:tabs>
                <w:tab w:val="left" w:pos="567"/>
                <w:tab w:val="left" w:pos="1134"/>
                <w:tab w:val="left" w:pos="1701"/>
                <w:tab w:val="left" w:pos="2268"/>
              </w:tabs>
              <w:jc w:val="right"/>
              <w:rPr>
                <w:rFonts w:cs="Arial"/>
                <w:b/>
                <w:sz w:val="18"/>
                <w:szCs w:val="18"/>
              </w:rPr>
            </w:pPr>
            <w:r w:rsidRPr="00C76328">
              <w:rPr>
                <w:rFonts w:cs="Arial"/>
                <w:b/>
                <w:sz w:val="18"/>
                <w:szCs w:val="18"/>
              </w:rPr>
              <w:t>126</w:t>
            </w:r>
          </w:p>
        </w:tc>
        <w:tc>
          <w:tcPr>
            <w:tcW w:w="647" w:type="pct"/>
            <w:vAlign w:val="bottom"/>
          </w:tcPr>
          <w:p w:rsidR="004E1CDD" w:rsidRPr="00C76328" w:rsidRDefault="004E1CDD" w:rsidP="00704CC0">
            <w:pPr>
              <w:keepNext/>
              <w:keepLines/>
              <w:tabs>
                <w:tab w:val="left" w:pos="567"/>
                <w:tab w:val="left" w:pos="1134"/>
                <w:tab w:val="left" w:pos="1701"/>
                <w:tab w:val="left" w:pos="2268"/>
              </w:tabs>
              <w:jc w:val="right"/>
              <w:rPr>
                <w:rFonts w:cs="Arial"/>
                <w:sz w:val="18"/>
                <w:szCs w:val="18"/>
              </w:rPr>
            </w:pPr>
            <w:r w:rsidRPr="00C76328">
              <w:rPr>
                <w:rFonts w:cs="Arial"/>
                <w:sz w:val="18"/>
                <w:szCs w:val="18"/>
              </w:rPr>
              <w:t>131</w:t>
            </w:r>
          </w:p>
        </w:tc>
        <w:tc>
          <w:tcPr>
            <w:tcW w:w="646" w:type="pct"/>
            <w:vAlign w:val="bottom"/>
          </w:tcPr>
          <w:p w:rsidR="004E1CDD" w:rsidRPr="00C76328" w:rsidRDefault="001557D9" w:rsidP="00704CC0">
            <w:pPr>
              <w:keepNext/>
              <w:keepLines/>
              <w:tabs>
                <w:tab w:val="left" w:pos="567"/>
                <w:tab w:val="left" w:pos="1134"/>
                <w:tab w:val="left" w:pos="1701"/>
                <w:tab w:val="left" w:pos="2268"/>
              </w:tabs>
              <w:jc w:val="right"/>
              <w:rPr>
                <w:rFonts w:cs="Arial"/>
                <w:b/>
                <w:sz w:val="18"/>
                <w:szCs w:val="18"/>
              </w:rPr>
            </w:pPr>
            <w:r w:rsidRPr="00C76328">
              <w:rPr>
                <w:rFonts w:cs="Arial"/>
                <w:b/>
                <w:sz w:val="18"/>
                <w:szCs w:val="18"/>
              </w:rPr>
              <w:t>-</w:t>
            </w:r>
          </w:p>
        </w:tc>
        <w:tc>
          <w:tcPr>
            <w:tcW w:w="646" w:type="pct"/>
            <w:vAlign w:val="bottom"/>
          </w:tcPr>
          <w:p w:rsidR="004E1CDD" w:rsidRPr="00C76328" w:rsidRDefault="004E1CDD" w:rsidP="00704CC0">
            <w:pPr>
              <w:keepNext/>
              <w:keepLines/>
              <w:tabs>
                <w:tab w:val="left" w:pos="567"/>
                <w:tab w:val="left" w:pos="1134"/>
                <w:tab w:val="left" w:pos="1701"/>
                <w:tab w:val="left" w:pos="2268"/>
              </w:tabs>
              <w:jc w:val="right"/>
              <w:rPr>
                <w:rFonts w:cs="Arial"/>
                <w:sz w:val="18"/>
                <w:szCs w:val="18"/>
              </w:rPr>
            </w:pPr>
            <w:r w:rsidRPr="00C76328">
              <w:rPr>
                <w:rFonts w:cs="Arial"/>
                <w:sz w:val="18"/>
                <w:szCs w:val="18"/>
              </w:rPr>
              <w:t>63</w:t>
            </w:r>
          </w:p>
        </w:tc>
      </w:tr>
      <w:tr w:rsidR="005F6D5F" w:rsidRPr="00C76328" w:rsidTr="00562F9C">
        <w:tc>
          <w:tcPr>
            <w:tcW w:w="2416" w:type="pct"/>
          </w:tcPr>
          <w:p w:rsidR="005F6D5F" w:rsidRPr="00C76328" w:rsidRDefault="005F6D5F" w:rsidP="00704CC0">
            <w:pPr>
              <w:keepNext/>
              <w:keepLines/>
              <w:tabs>
                <w:tab w:val="left" w:pos="567"/>
                <w:tab w:val="left" w:pos="1134"/>
                <w:tab w:val="left" w:pos="1701"/>
                <w:tab w:val="left" w:pos="2268"/>
              </w:tabs>
              <w:ind w:left="1985" w:hanging="284"/>
              <w:rPr>
                <w:rFonts w:cs="Arial"/>
                <w:i/>
                <w:sz w:val="18"/>
                <w:szCs w:val="18"/>
              </w:rPr>
            </w:pPr>
            <w:r w:rsidRPr="00C76328">
              <w:rPr>
                <w:rFonts w:cs="Arial"/>
                <w:i/>
                <w:sz w:val="18"/>
                <w:szCs w:val="18"/>
              </w:rPr>
              <w:t xml:space="preserve">(ii) </w:t>
            </w:r>
            <w:r w:rsidR="00C76328">
              <w:rPr>
                <w:rFonts w:cs="Arial"/>
                <w:i/>
                <w:sz w:val="18"/>
                <w:szCs w:val="18"/>
              </w:rPr>
              <w:tab/>
            </w:r>
            <w:r w:rsidRPr="00C76328">
              <w:rPr>
                <w:rFonts w:cs="Arial"/>
                <w:i/>
                <w:sz w:val="18"/>
                <w:szCs w:val="18"/>
              </w:rPr>
              <w:t>Other transactions:</w:t>
            </w:r>
          </w:p>
        </w:tc>
        <w:tc>
          <w:tcPr>
            <w:tcW w:w="646" w:type="pct"/>
            <w:vAlign w:val="bottom"/>
          </w:tcPr>
          <w:p w:rsidR="005F6D5F" w:rsidRPr="00C76328" w:rsidRDefault="005F6D5F" w:rsidP="00704CC0">
            <w:pPr>
              <w:keepNext/>
              <w:keepLines/>
              <w:tabs>
                <w:tab w:val="left" w:pos="567"/>
                <w:tab w:val="left" w:pos="1134"/>
                <w:tab w:val="left" w:pos="1701"/>
                <w:tab w:val="left" w:pos="2268"/>
              </w:tabs>
              <w:jc w:val="right"/>
              <w:rPr>
                <w:rFonts w:cs="Arial"/>
                <w:b/>
                <w:i/>
                <w:sz w:val="18"/>
                <w:szCs w:val="18"/>
              </w:rPr>
            </w:pPr>
          </w:p>
        </w:tc>
        <w:tc>
          <w:tcPr>
            <w:tcW w:w="647" w:type="pct"/>
            <w:vAlign w:val="bottom"/>
          </w:tcPr>
          <w:p w:rsidR="005F6D5F" w:rsidRPr="00C76328" w:rsidRDefault="005F6D5F" w:rsidP="00704CC0">
            <w:pPr>
              <w:keepNext/>
              <w:keepLines/>
              <w:tabs>
                <w:tab w:val="left" w:pos="567"/>
                <w:tab w:val="left" w:pos="1134"/>
                <w:tab w:val="left" w:pos="1701"/>
                <w:tab w:val="left" w:pos="2268"/>
              </w:tabs>
              <w:jc w:val="right"/>
              <w:rPr>
                <w:rFonts w:cs="Arial"/>
                <w:i/>
                <w:sz w:val="18"/>
                <w:szCs w:val="18"/>
              </w:rPr>
            </w:pPr>
          </w:p>
        </w:tc>
        <w:tc>
          <w:tcPr>
            <w:tcW w:w="646" w:type="pct"/>
            <w:vAlign w:val="bottom"/>
          </w:tcPr>
          <w:p w:rsidR="005F6D5F" w:rsidRPr="00C76328" w:rsidRDefault="005F6D5F" w:rsidP="00704CC0">
            <w:pPr>
              <w:keepNext/>
              <w:keepLines/>
              <w:tabs>
                <w:tab w:val="left" w:pos="567"/>
                <w:tab w:val="left" w:pos="1134"/>
                <w:tab w:val="left" w:pos="1701"/>
                <w:tab w:val="left" w:pos="2268"/>
              </w:tabs>
              <w:jc w:val="right"/>
              <w:rPr>
                <w:rFonts w:cs="Arial"/>
                <w:b/>
                <w:sz w:val="18"/>
                <w:szCs w:val="18"/>
              </w:rPr>
            </w:pPr>
          </w:p>
        </w:tc>
        <w:tc>
          <w:tcPr>
            <w:tcW w:w="646" w:type="pct"/>
            <w:vAlign w:val="bottom"/>
          </w:tcPr>
          <w:p w:rsidR="005F6D5F" w:rsidRPr="00C76328" w:rsidRDefault="005F6D5F" w:rsidP="00704CC0">
            <w:pPr>
              <w:keepNext/>
              <w:keepLines/>
              <w:tabs>
                <w:tab w:val="left" w:pos="567"/>
                <w:tab w:val="left" w:pos="1134"/>
                <w:tab w:val="left" w:pos="1701"/>
                <w:tab w:val="left" w:pos="2268"/>
              </w:tabs>
              <w:jc w:val="right"/>
              <w:rPr>
                <w:rFonts w:cs="Arial"/>
                <w:sz w:val="18"/>
                <w:szCs w:val="18"/>
              </w:rPr>
            </w:pPr>
          </w:p>
        </w:tc>
      </w:tr>
      <w:tr w:rsidR="005F6D5F" w:rsidRPr="00C76328" w:rsidTr="00562F9C">
        <w:tc>
          <w:tcPr>
            <w:tcW w:w="2416" w:type="pct"/>
          </w:tcPr>
          <w:p w:rsidR="005F6D5F" w:rsidRPr="00C76328" w:rsidRDefault="005F6D5F" w:rsidP="00704CC0">
            <w:pPr>
              <w:pStyle w:val="ListParagraph"/>
              <w:keepNext/>
              <w:keepLines/>
              <w:numPr>
                <w:ilvl w:val="0"/>
                <w:numId w:val="2"/>
              </w:numPr>
              <w:tabs>
                <w:tab w:val="left" w:pos="567"/>
                <w:tab w:val="left" w:pos="1134"/>
                <w:tab w:val="left" w:pos="1701"/>
                <w:tab w:val="left" w:pos="2268"/>
              </w:tabs>
              <w:ind w:left="2127" w:hanging="142"/>
              <w:rPr>
                <w:rFonts w:cs="Arial"/>
                <w:sz w:val="18"/>
                <w:szCs w:val="18"/>
              </w:rPr>
            </w:pPr>
            <w:r w:rsidRPr="00C76328">
              <w:rPr>
                <w:rFonts w:cs="Arial"/>
                <w:sz w:val="18"/>
                <w:szCs w:val="18"/>
              </w:rPr>
              <w:t>Registrar and administration charges paid to Chamberlain Fund Services Limited</w:t>
            </w:r>
          </w:p>
        </w:tc>
        <w:tc>
          <w:tcPr>
            <w:tcW w:w="646" w:type="pct"/>
            <w:vAlign w:val="bottom"/>
          </w:tcPr>
          <w:p w:rsidR="005F6D5F" w:rsidRPr="00C76328" w:rsidRDefault="004E1CDD" w:rsidP="00704CC0">
            <w:pPr>
              <w:keepNext/>
              <w:keepLines/>
              <w:tabs>
                <w:tab w:val="left" w:pos="567"/>
                <w:tab w:val="left" w:pos="1134"/>
                <w:tab w:val="left" w:pos="1701"/>
                <w:tab w:val="left" w:pos="2268"/>
              </w:tabs>
              <w:jc w:val="right"/>
              <w:rPr>
                <w:rFonts w:cs="Arial"/>
                <w:b/>
                <w:sz w:val="18"/>
                <w:szCs w:val="18"/>
              </w:rPr>
            </w:pPr>
            <w:r w:rsidRPr="00C76328">
              <w:rPr>
                <w:rFonts w:cs="Arial"/>
                <w:b/>
                <w:sz w:val="18"/>
                <w:szCs w:val="18"/>
              </w:rPr>
              <w:t>17</w:t>
            </w:r>
          </w:p>
        </w:tc>
        <w:tc>
          <w:tcPr>
            <w:tcW w:w="647" w:type="pct"/>
            <w:vAlign w:val="bottom"/>
          </w:tcPr>
          <w:p w:rsidR="005F6D5F" w:rsidRPr="00C76328" w:rsidRDefault="005F6D5F" w:rsidP="00704CC0">
            <w:pPr>
              <w:keepNext/>
              <w:keepLines/>
              <w:tabs>
                <w:tab w:val="left" w:pos="567"/>
                <w:tab w:val="left" w:pos="1134"/>
                <w:tab w:val="left" w:pos="1701"/>
                <w:tab w:val="left" w:pos="2268"/>
              </w:tabs>
              <w:jc w:val="right"/>
              <w:rPr>
                <w:rFonts w:cs="Arial"/>
                <w:sz w:val="18"/>
                <w:szCs w:val="18"/>
              </w:rPr>
            </w:pPr>
            <w:r w:rsidRPr="00C76328">
              <w:rPr>
                <w:rFonts w:cs="Arial"/>
                <w:sz w:val="18"/>
                <w:szCs w:val="18"/>
              </w:rPr>
              <w:t>16</w:t>
            </w:r>
          </w:p>
        </w:tc>
        <w:tc>
          <w:tcPr>
            <w:tcW w:w="646" w:type="pct"/>
            <w:vAlign w:val="bottom"/>
          </w:tcPr>
          <w:p w:rsidR="005F6D5F" w:rsidRPr="00C76328" w:rsidRDefault="004E1CDD" w:rsidP="00704CC0">
            <w:pPr>
              <w:keepNext/>
              <w:keepLines/>
              <w:tabs>
                <w:tab w:val="left" w:pos="567"/>
                <w:tab w:val="left" w:pos="1134"/>
                <w:tab w:val="left" w:pos="1701"/>
                <w:tab w:val="left" w:pos="2268"/>
              </w:tabs>
              <w:jc w:val="right"/>
              <w:rPr>
                <w:rFonts w:cs="Arial"/>
                <w:b/>
                <w:sz w:val="18"/>
                <w:szCs w:val="18"/>
              </w:rPr>
            </w:pPr>
            <w:r w:rsidRPr="00C76328">
              <w:rPr>
                <w:rFonts w:cs="Arial"/>
                <w:b/>
                <w:sz w:val="18"/>
                <w:szCs w:val="18"/>
              </w:rPr>
              <w:t>(1)</w:t>
            </w:r>
          </w:p>
        </w:tc>
        <w:tc>
          <w:tcPr>
            <w:tcW w:w="646" w:type="pct"/>
            <w:vAlign w:val="bottom"/>
          </w:tcPr>
          <w:p w:rsidR="005F6D5F" w:rsidRPr="00C76328" w:rsidRDefault="005F6D5F" w:rsidP="00704CC0">
            <w:pPr>
              <w:keepNext/>
              <w:keepLines/>
              <w:tabs>
                <w:tab w:val="left" w:pos="567"/>
                <w:tab w:val="left" w:pos="1134"/>
                <w:tab w:val="left" w:pos="1701"/>
                <w:tab w:val="left" w:pos="2268"/>
              </w:tabs>
              <w:jc w:val="right"/>
              <w:rPr>
                <w:rFonts w:cs="Arial"/>
                <w:sz w:val="18"/>
                <w:szCs w:val="18"/>
              </w:rPr>
            </w:pPr>
            <w:r w:rsidRPr="00C76328">
              <w:rPr>
                <w:rFonts w:cs="Arial"/>
                <w:sz w:val="18"/>
                <w:szCs w:val="18"/>
              </w:rPr>
              <w:t>(1)</w:t>
            </w:r>
          </w:p>
        </w:tc>
      </w:tr>
      <w:tr w:rsidR="004E1CDD" w:rsidRPr="00C76328" w:rsidTr="00562F9C">
        <w:tc>
          <w:tcPr>
            <w:tcW w:w="2416" w:type="pct"/>
          </w:tcPr>
          <w:p w:rsidR="004E1CDD" w:rsidRPr="00C76328" w:rsidRDefault="004E1CDD" w:rsidP="00704CC0">
            <w:pPr>
              <w:pStyle w:val="ListParagraph"/>
              <w:keepNext/>
              <w:keepLines/>
              <w:numPr>
                <w:ilvl w:val="0"/>
                <w:numId w:val="2"/>
              </w:numPr>
              <w:tabs>
                <w:tab w:val="left" w:pos="567"/>
                <w:tab w:val="left" w:pos="1134"/>
                <w:tab w:val="left" w:pos="1701"/>
                <w:tab w:val="left" w:pos="2268"/>
              </w:tabs>
              <w:ind w:left="2127" w:hanging="142"/>
              <w:rPr>
                <w:rFonts w:cs="Arial"/>
                <w:sz w:val="18"/>
                <w:szCs w:val="18"/>
              </w:rPr>
            </w:pPr>
            <w:r w:rsidRPr="00C76328">
              <w:rPr>
                <w:rFonts w:cs="Arial"/>
                <w:sz w:val="18"/>
                <w:szCs w:val="18"/>
              </w:rPr>
              <w:t>Service fee from</w:t>
            </w:r>
            <w:r w:rsidR="00C76328">
              <w:rPr>
                <w:rFonts w:cs="Arial"/>
                <w:sz w:val="18"/>
                <w:szCs w:val="18"/>
              </w:rPr>
              <w:t xml:space="preserve"> </w:t>
            </w:r>
            <w:r w:rsidRPr="00C76328">
              <w:rPr>
                <w:rFonts w:cs="Arial"/>
                <w:sz w:val="18"/>
                <w:szCs w:val="18"/>
              </w:rPr>
              <w:t>GCV</w:t>
            </w:r>
          </w:p>
        </w:tc>
        <w:tc>
          <w:tcPr>
            <w:tcW w:w="646" w:type="pct"/>
            <w:vAlign w:val="bottom"/>
          </w:tcPr>
          <w:p w:rsidR="004E1CDD" w:rsidRPr="00C76328" w:rsidRDefault="00CD4D00" w:rsidP="00704CC0">
            <w:pPr>
              <w:keepNext/>
              <w:keepLines/>
              <w:tabs>
                <w:tab w:val="left" w:pos="567"/>
                <w:tab w:val="left" w:pos="1134"/>
                <w:tab w:val="left" w:pos="1701"/>
                <w:tab w:val="left" w:pos="2268"/>
              </w:tabs>
              <w:jc w:val="right"/>
              <w:rPr>
                <w:rFonts w:cs="Arial"/>
                <w:b/>
                <w:sz w:val="18"/>
                <w:szCs w:val="18"/>
              </w:rPr>
            </w:pPr>
            <w:r w:rsidRPr="00C76328">
              <w:rPr>
                <w:rFonts w:cs="Arial"/>
                <w:b/>
                <w:sz w:val="18"/>
                <w:szCs w:val="18"/>
              </w:rPr>
              <w:t>64</w:t>
            </w:r>
          </w:p>
        </w:tc>
        <w:tc>
          <w:tcPr>
            <w:tcW w:w="647" w:type="pct"/>
            <w:vAlign w:val="bottom"/>
          </w:tcPr>
          <w:p w:rsidR="004E1CDD" w:rsidRPr="00C76328" w:rsidRDefault="004E1CDD" w:rsidP="00704CC0">
            <w:pPr>
              <w:keepNext/>
              <w:keepLines/>
              <w:tabs>
                <w:tab w:val="left" w:pos="567"/>
                <w:tab w:val="left" w:pos="1134"/>
                <w:tab w:val="left" w:pos="1701"/>
                <w:tab w:val="left" w:pos="2268"/>
              </w:tabs>
              <w:jc w:val="right"/>
              <w:rPr>
                <w:rFonts w:cs="Arial"/>
                <w:sz w:val="18"/>
                <w:szCs w:val="18"/>
              </w:rPr>
            </w:pPr>
            <w:r w:rsidRPr="00C76328">
              <w:rPr>
                <w:rFonts w:cs="Arial"/>
                <w:sz w:val="18"/>
                <w:szCs w:val="18"/>
              </w:rPr>
              <w:t>62</w:t>
            </w:r>
          </w:p>
        </w:tc>
        <w:tc>
          <w:tcPr>
            <w:tcW w:w="646" w:type="pct"/>
            <w:vAlign w:val="bottom"/>
          </w:tcPr>
          <w:p w:rsidR="004E1CDD" w:rsidRPr="00C76328" w:rsidRDefault="00C73ACD" w:rsidP="00704CC0">
            <w:pPr>
              <w:keepNext/>
              <w:keepLines/>
              <w:tabs>
                <w:tab w:val="left" w:pos="567"/>
                <w:tab w:val="left" w:pos="1134"/>
                <w:tab w:val="left" w:pos="1701"/>
                <w:tab w:val="left" w:pos="2268"/>
              </w:tabs>
              <w:jc w:val="right"/>
              <w:rPr>
                <w:rFonts w:cs="Arial"/>
                <w:b/>
                <w:sz w:val="18"/>
                <w:szCs w:val="18"/>
              </w:rPr>
            </w:pPr>
            <w:r w:rsidRPr="00C76328">
              <w:rPr>
                <w:rFonts w:cs="Arial"/>
                <w:b/>
                <w:sz w:val="18"/>
                <w:szCs w:val="18"/>
              </w:rPr>
              <w:t>(11)</w:t>
            </w:r>
          </w:p>
        </w:tc>
        <w:tc>
          <w:tcPr>
            <w:tcW w:w="646" w:type="pct"/>
            <w:vAlign w:val="bottom"/>
          </w:tcPr>
          <w:p w:rsidR="004E1CDD" w:rsidRPr="00C76328" w:rsidRDefault="004E1CDD" w:rsidP="00704CC0">
            <w:pPr>
              <w:keepNext/>
              <w:keepLines/>
              <w:tabs>
                <w:tab w:val="left" w:pos="567"/>
                <w:tab w:val="left" w:pos="1134"/>
                <w:tab w:val="left" w:pos="1701"/>
                <w:tab w:val="left" w:pos="2268"/>
              </w:tabs>
              <w:jc w:val="right"/>
              <w:rPr>
                <w:rFonts w:cs="Arial"/>
                <w:sz w:val="18"/>
                <w:szCs w:val="18"/>
              </w:rPr>
            </w:pPr>
            <w:r w:rsidRPr="00C76328">
              <w:rPr>
                <w:rFonts w:cs="Arial"/>
                <w:sz w:val="18"/>
                <w:szCs w:val="18"/>
              </w:rPr>
              <w:t>(10)</w:t>
            </w:r>
          </w:p>
        </w:tc>
      </w:tr>
      <w:tr w:rsidR="00CD4D00" w:rsidRPr="00C76328" w:rsidTr="00562F9C">
        <w:tc>
          <w:tcPr>
            <w:tcW w:w="2416" w:type="pct"/>
          </w:tcPr>
          <w:p w:rsidR="00CD4D00" w:rsidRPr="00C76328" w:rsidRDefault="00CD4D00" w:rsidP="00704CC0">
            <w:pPr>
              <w:pStyle w:val="ListParagraph"/>
              <w:keepNext/>
              <w:keepLines/>
              <w:numPr>
                <w:ilvl w:val="0"/>
                <w:numId w:val="2"/>
              </w:numPr>
              <w:tabs>
                <w:tab w:val="left" w:pos="567"/>
                <w:tab w:val="left" w:pos="1134"/>
                <w:tab w:val="left" w:pos="1701"/>
                <w:tab w:val="left" w:pos="2268"/>
              </w:tabs>
              <w:ind w:left="2127" w:hanging="142"/>
              <w:rPr>
                <w:rFonts w:cs="Arial"/>
                <w:sz w:val="18"/>
                <w:szCs w:val="18"/>
              </w:rPr>
            </w:pPr>
            <w:r w:rsidRPr="00C76328">
              <w:rPr>
                <w:rFonts w:cs="Arial"/>
                <w:sz w:val="18"/>
                <w:szCs w:val="18"/>
              </w:rPr>
              <w:t>Directors</w:t>
            </w:r>
            <w:r w:rsidR="00AD42D0" w:rsidRPr="00C76328">
              <w:rPr>
                <w:rFonts w:cs="Arial"/>
                <w:sz w:val="18"/>
                <w:szCs w:val="18"/>
              </w:rPr>
              <w:t>’</w:t>
            </w:r>
            <w:r w:rsidRPr="00C76328">
              <w:rPr>
                <w:rFonts w:cs="Arial"/>
                <w:sz w:val="18"/>
                <w:szCs w:val="18"/>
              </w:rPr>
              <w:t xml:space="preserve"> fees from investee company</w:t>
            </w:r>
          </w:p>
        </w:tc>
        <w:tc>
          <w:tcPr>
            <w:tcW w:w="646" w:type="pct"/>
            <w:vAlign w:val="bottom"/>
          </w:tcPr>
          <w:p w:rsidR="00CD4D00" w:rsidRPr="00C76328" w:rsidRDefault="00CD4D00" w:rsidP="00704CC0">
            <w:pPr>
              <w:keepNext/>
              <w:keepLines/>
              <w:tabs>
                <w:tab w:val="left" w:pos="567"/>
                <w:tab w:val="left" w:pos="1134"/>
                <w:tab w:val="left" w:pos="1701"/>
                <w:tab w:val="left" w:pos="2268"/>
              </w:tabs>
              <w:jc w:val="right"/>
              <w:rPr>
                <w:rFonts w:cs="Arial"/>
                <w:b/>
                <w:sz w:val="18"/>
                <w:szCs w:val="18"/>
              </w:rPr>
            </w:pPr>
            <w:r w:rsidRPr="00C76328">
              <w:rPr>
                <w:rFonts w:cs="Arial"/>
                <w:b/>
                <w:sz w:val="18"/>
                <w:szCs w:val="18"/>
              </w:rPr>
              <w:t>-</w:t>
            </w:r>
          </w:p>
        </w:tc>
        <w:tc>
          <w:tcPr>
            <w:tcW w:w="647" w:type="pct"/>
            <w:vAlign w:val="bottom"/>
          </w:tcPr>
          <w:p w:rsidR="00CD4D00" w:rsidRPr="00C76328" w:rsidRDefault="00CD4D00" w:rsidP="00704CC0">
            <w:pPr>
              <w:keepNext/>
              <w:keepLines/>
              <w:tabs>
                <w:tab w:val="left" w:pos="567"/>
                <w:tab w:val="left" w:pos="1134"/>
                <w:tab w:val="left" w:pos="1701"/>
                <w:tab w:val="left" w:pos="2268"/>
              </w:tabs>
              <w:jc w:val="right"/>
              <w:rPr>
                <w:rFonts w:cs="Arial"/>
                <w:sz w:val="18"/>
                <w:szCs w:val="18"/>
              </w:rPr>
            </w:pPr>
            <w:r w:rsidRPr="00C76328">
              <w:rPr>
                <w:rFonts w:cs="Arial"/>
                <w:sz w:val="18"/>
                <w:szCs w:val="18"/>
              </w:rPr>
              <w:t>50</w:t>
            </w:r>
          </w:p>
        </w:tc>
        <w:tc>
          <w:tcPr>
            <w:tcW w:w="646" w:type="pct"/>
            <w:vAlign w:val="bottom"/>
          </w:tcPr>
          <w:p w:rsidR="00CD4D00" w:rsidRPr="00C76328" w:rsidRDefault="00CD4D00" w:rsidP="00704CC0">
            <w:pPr>
              <w:keepNext/>
              <w:keepLines/>
              <w:tabs>
                <w:tab w:val="left" w:pos="567"/>
                <w:tab w:val="left" w:pos="1134"/>
                <w:tab w:val="left" w:pos="1701"/>
                <w:tab w:val="left" w:pos="2268"/>
              </w:tabs>
              <w:jc w:val="right"/>
              <w:rPr>
                <w:rFonts w:cs="Arial"/>
                <w:b/>
                <w:sz w:val="18"/>
                <w:szCs w:val="18"/>
              </w:rPr>
            </w:pPr>
            <w:r w:rsidRPr="00C76328">
              <w:rPr>
                <w:rFonts w:cs="Arial"/>
                <w:b/>
                <w:sz w:val="18"/>
                <w:szCs w:val="18"/>
              </w:rPr>
              <w:t>-</w:t>
            </w:r>
          </w:p>
        </w:tc>
        <w:tc>
          <w:tcPr>
            <w:tcW w:w="646" w:type="pct"/>
            <w:vAlign w:val="bottom"/>
          </w:tcPr>
          <w:p w:rsidR="00CD4D00" w:rsidRPr="00C76328" w:rsidRDefault="00CD4D00" w:rsidP="00704CC0">
            <w:pPr>
              <w:keepNext/>
              <w:keepLines/>
              <w:tabs>
                <w:tab w:val="left" w:pos="567"/>
                <w:tab w:val="left" w:pos="1134"/>
                <w:tab w:val="left" w:pos="1701"/>
                <w:tab w:val="left" w:pos="2268"/>
              </w:tabs>
              <w:jc w:val="right"/>
              <w:rPr>
                <w:rFonts w:cs="Arial"/>
                <w:sz w:val="18"/>
                <w:szCs w:val="18"/>
              </w:rPr>
            </w:pPr>
            <w:r w:rsidRPr="00C76328">
              <w:rPr>
                <w:rFonts w:cs="Arial"/>
                <w:sz w:val="18"/>
                <w:szCs w:val="18"/>
              </w:rPr>
              <w:t>13</w:t>
            </w:r>
          </w:p>
        </w:tc>
      </w:tr>
      <w:tr w:rsidR="001557D9" w:rsidRPr="00C76328" w:rsidTr="00562F9C">
        <w:tc>
          <w:tcPr>
            <w:tcW w:w="2416" w:type="pct"/>
          </w:tcPr>
          <w:p w:rsidR="001557D9" w:rsidRPr="00C76328" w:rsidRDefault="001557D9" w:rsidP="00704CC0">
            <w:pPr>
              <w:pStyle w:val="ListParagraph"/>
              <w:keepNext/>
              <w:keepLines/>
              <w:numPr>
                <w:ilvl w:val="0"/>
                <w:numId w:val="2"/>
              </w:numPr>
              <w:tabs>
                <w:tab w:val="left" w:pos="567"/>
                <w:tab w:val="left" w:pos="1134"/>
                <w:tab w:val="left" w:pos="1701"/>
                <w:tab w:val="left" w:pos="2268"/>
              </w:tabs>
              <w:ind w:left="2127" w:hanging="142"/>
              <w:rPr>
                <w:rFonts w:cs="Arial"/>
                <w:sz w:val="18"/>
                <w:szCs w:val="18"/>
              </w:rPr>
            </w:pPr>
            <w:r w:rsidRPr="00C76328">
              <w:rPr>
                <w:rFonts w:cs="Arial"/>
                <w:sz w:val="18"/>
                <w:szCs w:val="18"/>
              </w:rPr>
              <w:t>Paid to Elephant Capital LLP</w:t>
            </w:r>
          </w:p>
        </w:tc>
        <w:tc>
          <w:tcPr>
            <w:tcW w:w="646" w:type="pct"/>
            <w:tcBorders>
              <w:bottom w:val="single" w:sz="4" w:space="0" w:color="auto"/>
            </w:tcBorders>
            <w:vAlign w:val="bottom"/>
          </w:tcPr>
          <w:p w:rsidR="001557D9" w:rsidRPr="00C76328" w:rsidRDefault="001557D9" w:rsidP="00704CC0">
            <w:pPr>
              <w:keepNext/>
              <w:keepLines/>
              <w:tabs>
                <w:tab w:val="left" w:pos="567"/>
                <w:tab w:val="left" w:pos="1134"/>
                <w:tab w:val="left" w:pos="1701"/>
                <w:tab w:val="left" w:pos="2268"/>
              </w:tabs>
              <w:jc w:val="right"/>
              <w:rPr>
                <w:rFonts w:cs="Arial"/>
                <w:b/>
                <w:sz w:val="18"/>
                <w:szCs w:val="18"/>
              </w:rPr>
            </w:pPr>
            <w:r w:rsidRPr="00C76328">
              <w:rPr>
                <w:rFonts w:cs="Arial"/>
                <w:b/>
                <w:sz w:val="18"/>
                <w:szCs w:val="18"/>
              </w:rPr>
              <w:t>126</w:t>
            </w:r>
          </w:p>
        </w:tc>
        <w:tc>
          <w:tcPr>
            <w:tcW w:w="647" w:type="pct"/>
            <w:tcBorders>
              <w:bottom w:val="single" w:sz="4" w:space="0" w:color="auto"/>
            </w:tcBorders>
            <w:vAlign w:val="bottom"/>
          </w:tcPr>
          <w:p w:rsidR="001557D9" w:rsidRPr="00C76328" w:rsidRDefault="001557D9" w:rsidP="00704CC0">
            <w:pPr>
              <w:keepNext/>
              <w:keepLines/>
              <w:tabs>
                <w:tab w:val="left" w:pos="567"/>
                <w:tab w:val="left" w:pos="1134"/>
                <w:tab w:val="left" w:pos="1701"/>
                <w:tab w:val="left" w:pos="2268"/>
              </w:tabs>
              <w:jc w:val="right"/>
              <w:rPr>
                <w:rFonts w:cs="Arial"/>
                <w:sz w:val="18"/>
                <w:szCs w:val="18"/>
              </w:rPr>
            </w:pPr>
            <w:r w:rsidRPr="00C76328">
              <w:rPr>
                <w:rFonts w:cs="Arial"/>
                <w:sz w:val="18"/>
                <w:szCs w:val="18"/>
              </w:rPr>
              <w:t>131</w:t>
            </w:r>
          </w:p>
        </w:tc>
        <w:tc>
          <w:tcPr>
            <w:tcW w:w="646" w:type="pct"/>
            <w:tcBorders>
              <w:bottom w:val="single" w:sz="4" w:space="0" w:color="auto"/>
            </w:tcBorders>
            <w:vAlign w:val="bottom"/>
          </w:tcPr>
          <w:p w:rsidR="001557D9" w:rsidRPr="00C76328" w:rsidRDefault="001557D9" w:rsidP="00704CC0">
            <w:pPr>
              <w:keepNext/>
              <w:keepLines/>
              <w:tabs>
                <w:tab w:val="left" w:pos="567"/>
                <w:tab w:val="left" w:pos="1134"/>
                <w:tab w:val="left" w:pos="1701"/>
                <w:tab w:val="left" w:pos="2268"/>
              </w:tabs>
              <w:jc w:val="right"/>
              <w:rPr>
                <w:rFonts w:cs="Arial"/>
                <w:b/>
                <w:sz w:val="18"/>
                <w:szCs w:val="18"/>
              </w:rPr>
            </w:pPr>
            <w:r w:rsidRPr="00C76328">
              <w:rPr>
                <w:rFonts w:cs="Arial"/>
                <w:b/>
                <w:sz w:val="18"/>
                <w:szCs w:val="18"/>
              </w:rPr>
              <w:t>-</w:t>
            </w:r>
          </w:p>
        </w:tc>
        <w:tc>
          <w:tcPr>
            <w:tcW w:w="646" w:type="pct"/>
            <w:tcBorders>
              <w:bottom w:val="single" w:sz="4" w:space="0" w:color="auto"/>
            </w:tcBorders>
            <w:vAlign w:val="bottom"/>
          </w:tcPr>
          <w:p w:rsidR="001557D9" w:rsidRPr="00C76328" w:rsidRDefault="001557D9" w:rsidP="00704CC0">
            <w:pPr>
              <w:keepNext/>
              <w:keepLines/>
              <w:tabs>
                <w:tab w:val="left" w:pos="567"/>
                <w:tab w:val="left" w:pos="1134"/>
                <w:tab w:val="left" w:pos="1701"/>
                <w:tab w:val="left" w:pos="2268"/>
              </w:tabs>
              <w:jc w:val="right"/>
              <w:rPr>
                <w:rFonts w:cs="Arial"/>
                <w:sz w:val="18"/>
                <w:szCs w:val="18"/>
              </w:rPr>
            </w:pPr>
            <w:r w:rsidRPr="00C76328">
              <w:rPr>
                <w:rFonts w:cs="Arial"/>
                <w:sz w:val="18"/>
                <w:szCs w:val="18"/>
              </w:rPr>
              <w:t>(63)</w:t>
            </w:r>
          </w:p>
        </w:tc>
      </w:tr>
    </w:tbl>
    <w:p w:rsidR="00D97F7D" w:rsidRPr="00A76890" w:rsidRDefault="00ED1389" w:rsidP="00704CC0">
      <w:pPr>
        <w:pStyle w:val="Normal4-Sub-sub-para"/>
        <w:spacing w:line="240" w:lineRule="auto"/>
        <w:ind w:left="1701"/>
      </w:pPr>
      <w:r>
        <w:t xml:space="preserve">* </w:t>
      </w:r>
      <w:r w:rsidR="00080895" w:rsidRPr="00A76890">
        <w:t xml:space="preserve">Payments to Elephant Capital LLP and Elephant India Limited are paid out of the management fee. </w:t>
      </w:r>
    </w:p>
    <w:p w:rsidR="00863596" w:rsidRPr="00C76328" w:rsidRDefault="0092140F" w:rsidP="00704CC0">
      <w:pPr>
        <w:numPr>
          <w:ilvl w:val="0"/>
          <w:numId w:val="4"/>
        </w:numPr>
        <w:tabs>
          <w:tab w:val="clear" w:pos="810"/>
          <w:tab w:val="left" w:pos="567"/>
          <w:tab w:val="left" w:pos="1134"/>
          <w:tab w:val="left" w:pos="1701"/>
          <w:tab w:val="left" w:pos="2268"/>
        </w:tabs>
        <w:spacing w:before="240" w:after="120"/>
        <w:ind w:left="567" w:hanging="567"/>
        <w:rPr>
          <w:rFonts w:cs="Arial"/>
          <w:b/>
        </w:rPr>
      </w:pPr>
      <w:r w:rsidRPr="00C76328">
        <w:rPr>
          <w:rFonts w:cs="Arial"/>
          <w:b/>
        </w:rPr>
        <w:t>Risk management objectives and policies</w:t>
      </w:r>
    </w:p>
    <w:p w:rsidR="0092140F" w:rsidRPr="00A76890" w:rsidRDefault="0092140F" w:rsidP="00704CC0">
      <w:pPr>
        <w:pStyle w:val="Normal2-Para"/>
        <w:spacing w:line="240" w:lineRule="auto"/>
        <w:ind w:left="567"/>
      </w:pPr>
      <w:r w:rsidRPr="00A76890">
        <w:t>The Group is exposed to various risks in relation to financial instruments. The Group's financial assets and liabilities by category are summarised in note 20. The main types of risks are market risk, credit risk and liquidity risk.</w:t>
      </w:r>
    </w:p>
    <w:p w:rsidR="0092140F" w:rsidRPr="00A76890" w:rsidRDefault="0092140F" w:rsidP="00704CC0">
      <w:pPr>
        <w:pStyle w:val="Normal2-Para"/>
        <w:spacing w:line="240" w:lineRule="auto"/>
        <w:ind w:left="567"/>
      </w:pPr>
      <w:r w:rsidRPr="00A76890">
        <w:t xml:space="preserve">The Group's risk management is coordinated at its headquarters, in close co-operation with the </w:t>
      </w:r>
      <w:r w:rsidR="00CB7E41" w:rsidRPr="00A76890">
        <w:t>B</w:t>
      </w:r>
      <w:r w:rsidRPr="00A76890">
        <w:t xml:space="preserve">oard of </w:t>
      </w:r>
      <w:r w:rsidR="00CB7E41" w:rsidRPr="00A76890">
        <w:t>D</w:t>
      </w:r>
      <w:r w:rsidRPr="00A76890">
        <w:t xml:space="preserve">irectors, and focuses actively on minimising the volatility due to its exposure to financial markets and managing long-term financial investments to generate lasting returns. </w:t>
      </w:r>
    </w:p>
    <w:p w:rsidR="00F20CFE" w:rsidRPr="00A76890" w:rsidRDefault="00BF62A1" w:rsidP="00704CC0">
      <w:pPr>
        <w:pStyle w:val="Normal2-Para"/>
        <w:spacing w:line="240" w:lineRule="auto"/>
        <w:ind w:left="567"/>
      </w:pPr>
      <w:r w:rsidRPr="00A76890">
        <w:t xml:space="preserve">The </w:t>
      </w:r>
      <w:r w:rsidR="00CB7E41" w:rsidRPr="00A76890">
        <w:t>G</w:t>
      </w:r>
      <w:r w:rsidR="00C77914" w:rsidRPr="00A76890">
        <w:t>r</w:t>
      </w:r>
      <w:r w:rsidR="00CB7E41" w:rsidRPr="00A76890">
        <w:t xml:space="preserve">oup </w:t>
      </w:r>
      <w:r w:rsidRPr="00A76890">
        <w:t>is exposed to market risk through its use of financial instruments and specifically to currency risk, and certain other price risks, which result from both its operating and investing activities.</w:t>
      </w:r>
    </w:p>
    <w:p w:rsidR="0092140F" w:rsidRPr="00A76890" w:rsidRDefault="0092140F" w:rsidP="00704CC0">
      <w:pPr>
        <w:pStyle w:val="Heading3-Sub-para"/>
        <w:ind w:left="567"/>
      </w:pPr>
      <w:r w:rsidRPr="00A76890">
        <w:t>Market risk</w:t>
      </w:r>
    </w:p>
    <w:p w:rsidR="0092140F" w:rsidRPr="00A76890" w:rsidRDefault="00BF62A1" w:rsidP="00704CC0">
      <w:pPr>
        <w:pStyle w:val="Normal3-Sub-para"/>
        <w:spacing w:line="240" w:lineRule="auto"/>
        <w:ind w:left="567"/>
      </w:pPr>
      <w:r w:rsidRPr="00A76890">
        <w:t>Market risk embodies the potential for both losses and gains and includes currency risk, and price risk.</w:t>
      </w:r>
      <w:r w:rsidR="0092140F" w:rsidRPr="00A76890">
        <w:t xml:space="preserve"> The Group’s strategy on the management of market risk is driven by its investment objective, as outlined in the Investment Manager’s </w:t>
      </w:r>
      <w:r w:rsidR="000E4114" w:rsidRPr="00A76890">
        <w:t>Review</w:t>
      </w:r>
      <w:r w:rsidR="0092140F" w:rsidRPr="00A76890">
        <w:t>. The Group invests in a range of investments, including quoted and unquoted equity securities in a range of sectors. The Board monitors the Group’s investment exposure against internal guidelines specifying the proportion of total assets that may be invested in various sectors.</w:t>
      </w:r>
    </w:p>
    <w:p w:rsidR="0092140F" w:rsidRPr="00A76890" w:rsidRDefault="0092140F" w:rsidP="00704CC0">
      <w:pPr>
        <w:pStyle w:val="Heading3-Sub-para"/>
        <w:ind w:left="567"/>
      </w:pPr>
      <w:r w:rsidRPr="00A76890">
        <w:t>Currency risk</w:t>
      </w:r>
    </w:p>
    <w:p w:rsidR="0092140F" w:rsidRPr="00A76890" w:rsidRDefault="0092140F" w:rsidP="00704CC0">
      <w:pPr>
        <w:pStyle w:val="Normal3-Sub-para"/>
        <w:spacing w:line="240" w:lineRule="auto"/>
        <w:ind w:left="567"/>
      </w:pPr>
      <w:r w:rsidRPr="00A76890">
        <w:t xml:space="preserve">The Group's portfolio comprises predominantly </w:t>
      </w:r>
      <w:r w:rsidR="00BF5A40" w:rsidRPr="00A76890">
        <w:t>I</w:t>
      </w:r>
      <w:r w:rsidRPr="00A76890">
        <w:t xml:space="preserve">ndian </w:t>
      </w:r>
      <w:r w:rsidR="00BF5A40" w:rsidRPr="00A76890">
        <w:t>r</w:t>
      </w:r>
      <w:r w:rsidRPr="00A76890">
        <w:t>upee (</w:t>
      </w:r>
      <w:r w:rsidR="00CB7E41" w:rsidRPr="00A76890">
        <w:t>“</w:t>
      </w:r>
      <w:r w:rsidRPr="00A76890">
        <w:t>INR</w:t>
      </w:r>
      <w:r w:rsidR="00CB7E41" w:rsidRPr="00A76890">
        <w:t>”</w:t>
      </w:r>
      <w:r w:rsidRPr="00A76890">
        <w:t xml:space="preserve">) denominated investments along with certain unquoted investments denominated in United States </w:t>
      </w:r>
      <w:r w:rsidR="0023765F" w:rsidRPr="00A76890">
        <w:t>d</w:t>
      </w:r>
      <w:r w:rsidRPr="00A76890">
        <w:t>ollars (</w:t>
      </w:r>
      <w:r w:rsidR="00585EEF" w:rsidRPr="00A76890">
        <w:t>“</w:t>
      </w:r>
      <w:r w:rsidRPr="00A76890">
        <w:t>USD</w:t>
      </w:r>
      <w:r w:rsidR="00585EEF" w:rsidRPr="00A76890">
        <w:t>”</w:t>
      </w:r>
      <w:r w:rsidRPr="00A76890">
        <w:t>)</w:t>
      </w:r>
      <w:r w:rsidR="00585EEF" w:rsidRPr="00A76890">
        <w:t xml:space="preserve"> </w:t>
      </w:r>
      <w:r w:rsidRPr="00A76890">
        <w:t xml:space="preserve">as well. But the reported net asset value is denominated in </w:t>
      </w:r>
      <w:r w:rsidR="00585EEF" w:rsidRPr="00A76890">
        <w:t>p</w:t>
      </w:r>
      <w:r w:rsidRPr="00A76890">
        <w:t xml:space="preserve">ounds </w:t>
      </w:r>
      <w:r w:rsidR="00585EEF" w:rsidRPr="00A76890">
        <w:t>s</w:t>
      </w:r>
      <w:r w:rsidRPr="00A76890">
        <w:t>terling (</w:t>
      </w:r>
      <w:r w:rsidR="00585EEF" w:rsidRPr="00A76890">
        <w:t>“</w:t>
      </w:r>
      <w:r w:rsidRPr="00A76890">
        <w:t>GBP</w:t>
      </w:r>
      <w:r w:rsidR="00585EEF" w:rsidRPr="00A76890">
        <w:t>”</w:t>
      </w:r>
      <w:r w:rsidRPr="00A76890">
        <w:t>). Any depreciation in INR or USD could have an adverse impact on the performance of the Group. The Group does not enter into any derivative contracts for hedging of INR or USD exposure.</w:t>
      </w:r>
    </w:p>
    <w:p w:rsidR="002A30E5" w:rsidRPr="00A76890" w:rsidRDefault="0092140F" w:rsidP="00704CC0">
      <w:pPr>
        <w:pStyle w:val="Normal3-Sub-para"/>
        <w:spacing w:line="240" w:lineRule="auto"/>
        <w:ind w:left="567"/>
      </w:pPr>
      <w:r w:rsidRPr="00A76890">
        <w:t xml:space="preserve">For </w:t>
      </w:r>
      <w:r w:rsidR="004F0C62" w:rsidRPr="00A76890">
        <w:t xml:space="preserve">the </w:t>
      </w:r>
      <w:r w:rsidRPr="00A76890">
        <w:t>Company</w:t>
      </w:r>
      <w:r w:rsidR="004F0C62" w:rsidRPr="00A76890">
        <w:t xml:space="preserve">’s </w:t>
      </w:r>
      <w:r w:rsidRPr="00A76890">
        <w:t>financial statements, all the assets and liabilities are predominantly denominated in GBP which is the functional currency of the Company and there are no significant currency risks existing in the Company statement of financial position.</w:t>
      </w:r>
    </w:p>
    <w:p w:rsidR="0092140F" w:rsidRPr="00A76890" w:rsidRDefault="005B766E" w:rsidP="00704CC0">
      <w:pPr>
        <w:pStyle w:val="Normal3-Sub-para"/>
        <w:keepNext/>
        <w:keepLines/>
        <w:spacing w:after="60" w:line="240" w:lineRule="auto"/>
        <w:ind w:left="567"/>
      </w:pPr>
      <w:r w:rsidRPr="00A76890">
        <w:t xml:space="preserve">For the </w:t>
      </w:r>
      <w:r w:rsidR="00BF5A40" w:rsidRPr="00A76890">
        <w:t>G</w:t>
      </w:r>
      <w:r w:rsidRPr="00A76890">
        <w:t>roup n</w:t>
      </w:r>
      <w:r w:rsidR="0092140F" w:rsidRPr="00A76890">
        <w:t>et short-term exposure in GBP equivalents of foreign currency denominated financial assets and liabilities at each reporting date is as follows:</w:t>
      </w:r>
    </w:p>
    <w:tbl>
      <w:tblPr>
        <w:tblW w:w="8953" w:type="dxa"/>
        <w:tblBorders>
          <w:bottom w:val="single" w:sz="4" w:space="0" w:color="auto"/>
        </w:tblBorders>
        <w:tblLayout w:type="fixed"/>
        <w:tblCellMar>
          <w:top w:w="28" w:type="dxa"/>
          <w:left w:w="57" w:type="dxa"/>
          <w:bottom w:w="28" w:type="dxa"/>
          <w:right w:w="57" w:type="dxa"/>
        </w:tblCellMar>
        <w:tblLook w:val="04A0"/>
      </w:tblPr>
      <w:tblGrid>
        <w:gridCol w:w="5371"/>
        <w:gridCol w:w="1791"/>
        <w:gridCol w:w="1791"/>
      </w:tblGrid>
      <w:tr w:rsidR="0092140F" w:rsidRPr="00A76890" w:rsidTr="00562F9C">
        <w:trPr>
          <w:trHeight w:val="20"/>
          <w:tblHeader/>
        </w:trPr>
        <w:tc>
          <w:tcPr>
            <w:tcW w:w="3000" w:type="pct"/>
            <w:tcBorders>
              <w:top w:val="nil"/>
              <w:bottom w:val="nil"/>
            </w:tcBorders>
            <w:shd w:val="clear" w:color="auto" w:fill="auto"/>
            <w:vAlign w:val="center"/>
          </w:tcPr>
          <w:p w:rsidR="0092140F" w:rsidRPr="00C76328" w:rsidRDefault="0092140F" w:rsidP="00704CC0">
            <w:pPr>
              <w:keepNext/>
              <w:keepLines/>
              <w:tabs>
                <w:tab w:val="left" w:pos="567"/>
                <w:tab w:val="left" w:pos="1134"/>
                <w:tab w:val="left" w:pos="1701"/>
                <w:tab w:val="left" w:pos="2268"/>
              </w:tabs>
              <w:ind w:left="567"/>
              <w:rPr>
                <w:rFonts w:cs="Arial"/>
                <w:b/>
                <w:sz w:val="18"/>
                <w:szCs w:val="22"/>
              </w:rPr>
            </w:pPr>
          </w:p>
        </w:tc>
        <w:tc>
          <w:tcPr>
            <w:tcW w:w="1000" w:type="pct"/>
            <w:tcBorders>
              <w:top w:val="nil"/>
              <w:bottom w:val="nil"/>
            </w:tcBorders>
          </w:tcPr>
          <w:p w:rsidR="0092140F" w:rsidRPr="00C76328" w:rsidRDefault="0092140F" w:rsidP="00704CC0">
            <w:pPr>
              <w:keepNext/>
              <w:keepLines/>
              <w:tabs>
                <w:tab w:val="left" w:pos="567"/>
                <w:tab w:val="left" w:pos="1134"/>
                <w:tab w:val="left" w:pos="1701"/>
                <w:tab w:val="left" w:pos="2268"/>
              </w:tabs>
              <w:jc w:val="right"/>
              <w:rPr>
                <w:rFonts w:cs="Arial"/>
                <w:b/>
                <w:bCs/>
                <w:sz w:val="18"/>
                <w:szCs w:val="22"/>
              </w:rPr>
            </w:pPr>
            <w:r w:rsidRPr="00C76328">
              <w:rPr>
                <w:rFonts w:cs="Arial"/>
                <w:b/>
                <w:bCs/>
                <w:sz w:val="18"/>
                <w:szCs w:val="22"/>
              </w:rPr>
              <w:t>£'000</w:t>
            </w:r>
          </w:p>
        </w:tc>
        <w:tc>
          <w:tcPr>
            <w:tcW w:w="1000" w:type="pct"/>
            <w:tcBorders>
              <w:top w:val="nil"/>
              <w:bottom w:val="nil"/>
            </w:tcBorders>
            <w:shd w:val="clear" w:color="auto" w:fill="auto"/>
          </w:tcPr>
          <w:p w:rsidR="0092140F" w:rsidRPr="00C76328" w:rsidRDefault="0092140F" w:rsidP="00704CC0">
            <w:pPr>
              <w:keepNext/>
              <w:keepLines/>
              <w:tabs>
                <w:tab w:val="left" w:pos="567"/>
                <w:tab w:val="left" w:pos="1134"/>
                <w:tab w:val="left" w:pos="1701"/>
                <w:tab w:val="left" w:pos="2268"/>
              </w:tabs>
              <w:jc w:val="right"/>
              <w:rPr>
                <w:rFonts w:cs="Arial"/>
                <w:b/>
                <w:bCs/>
                <w:sz w:val="18"/>
                <w:szCs w:val="22"/>
              </w:rPr>
            </w:pPr>
            <w:r w:rsidRPr="00C76328">
              <w:rPr>
                <w:rFonts w:cs="Arial"/>
                <w:b/>
                <w:bCs/>
                <w:sz w:val="18"/>
                <w:szCs w:val="22"/>
              </w:rPr>
              <w:t>£'000</w:t>
            </w:r>
          </w:p>
        </w:tc>
      </w:tr>
      <w:tr w:rsidR="0092140F" w:rsidRPr="00A76890" w:rsidTr="00562F9C">
        <w:trPr>
          <w:trHeight w:val="20"/>
          <w:tblHeader/>
        </w:trPr>
        <w:tc>
          <w:tcPr>
            <w:tcW w:w="3000" w:type="pct"/>
            <w:tcBorders>
              <w:top w:val="nil"/>
              <w:bottom w:val="nil"/>
            </w:tcBorders>
            <w:shd w:val="clear" w:color="auto" w:fill="auto"/>
            <w:vAlign w:val="center"/>
          </w:tcPr>
          <w:p w:rsidR="0092140F" w:rsidRPr="00C76328" w:rsidRDefault="0092140F" w:rsidP="00704CC0">
            <w:pPr>
              <w:keepNext/>
              <w:keepLines/>
              <w:tabs>
                <w:tab w:val="left" w:pos="567"/>
                <w:tab w:val="left" w:pos="1134"/>
                <w:tab w:val="left" w:pos="1701"/>
                <w:tab w:val="left" w:pos="2268"/>
              </w:tabs>
              <w:ind w:left="567"/>
              <w:rPr>
                <w:rFonts w:cs="Arial"/>
                <w:b/>
                <w:sz w:val="18"/>
                <w:szCs w:val="22"/>
              </w:rPr>
            </w:pPr>
            <w:r w:rsidRPr="00C76328">
              <w:rPr>
                <w:rFonts w:cs="Arial"/>
                <w:b/>
                <w:sz w:val="18"/>
                <w:szCs w:val="22"/>
              </w:rPr>
              <w:t>Functional currency</w:t>
            </w:r>
          </w:p>
        </w:tc>
        <w:tc>
          <w:tcPr>
            <w:tcW w:w="1000" w:type="pct"/>
            <w:tcBorders>
              <w:top w:val="nil"/>
              <w:bottom w:val="nil"/>
            </w:tcBorders>
            <w:vAlign w:val="center"/>
          </w:tcPr>
          <w:p w:rsidR="0092140F" w:rsidRPr="00C76328" w:rsidRDefault="0092140F" w:rsidP="00704CC0">
            <w:pPr>
              <w:keepNext/>
              <w:keepLines/>
              <w:tabs>
                <w:tab w:val="left" w:pos="567"/>
                <w:tab w:val="left" w:pos="1134"/>
                <w:tab w:val="left" w:pos="1701"/>
                <w:tab w:val="left" w:pos="2268"/>
              </w:tabs>
              <w:jc w:val="right"/>
              <w:rPr>
                <w:rFonts w:cs="Arial"/>
                <w:b/>
                <w:bCs/>
                <w:sz w:val="18"/>
                <w:szCs w:val="22"/>
              </w:rPr>
            </w:pPr>
            <w:r w:rsidRPr="00C76328">
              <w:rPr>
                <w:rFonts w:cs="Arial"/>
                <w:b/>
                <w:bCs/>
                <w:sz w:val="18"/>
                <w:szCs w:val="22"/>
              </w:rPr>
              <w:t>GBP</w:t>
            </w:r>
          </w:p>
        </w:tc>
        <w:tc>
          <w:tcPr>
            <w:tcW w:w="1000" w:type="pct"/>
            <w:tcBorders>
              <w:top w:val="nil"/>
              <w:bottom w:val="nil"/>
            </w:tcBorders>
            <w:shd w:val="clear" w:color="auto" w:fill="auto"/>
            <w:vAlign w:val="center"/>
          </w:tcPr>
          <w:p w:rsidR="0092140F" w:rsidRPr="00C76328" w:rsidRDefault="0092140F" w:rsidP="00704CC0">
            <w:pPr>
              <w:keepNext/>
              <w:keepLines/>
              <w:tabs>
                <w:tab w:val="left" w:pos="567"/>
                <w:tab w:val="left" w:pos="1134"/>
                <w:tab w:val="left" w:pos="1701"/>
                <w:tab w:val="left" w:pos="2268"/>
              </w:tabs>
              <w:jc w:val="right"/>
              <w:rPr>
                <w:rFonts w:cs="Arial"/>
                <w:b/>
                <w:bCs/>
                <w:sz w:val="18"/>
                <w:szCs w:val="22"/>
              </w:rPr>
            </w:pPr>
            <w:r w:rsidRPr="00C76328">
              <w:rPr>
                <w:rFonts w:cs="Arial"/>
                <w:b/>
                <w:bCs/>
                <w:sz w:val="18"/>
                <w:szCs w:val="22"/>
              </w:rPr>
              <w:t xml:space="preserve">GBP </w:t>
            </w:r>
          </w:p>
        </w:tc>
      </w:tr>
      <w:tr w:rsidR="0092140F" w:rsidRPr="00A76890" w:rsidTr="00562F9C">
        <w:tblPrEx>
          <w:tblBorders>
            <w:bottom w:val="none" w:sz="0" w:space="0" w:color="auto"/>
          </w:tblBorders>
        </w:tblPrEx>
        <w:trPr>
          <w:trHeight w:val="20"/>
          <w:tblHeader/>
        </w:trPr>
        <w:tc>
          <w:tcPr>
            <w:tcW w:w="3000" w:type="pct"/>
            <w:tcBorders>
              <w:left w:val="nil"/>
              <w:right w:val="nil"/>
            </w:tcBorders>
            <w:shd w:val="clear" w:color="auto" w:fill="auto"/>
            <w:vAlign w:val="center"/>
          </w:tcPr>
          <w:p w:rsidR="0092140F" w:rsidRPr="00C76328" w:rsidRDefault="0092140F" w:rsidP="00704CC0">
            <w:pPr>
              <w:keepNext/>
              <w:keepLines/>
              <w:tabs>
                <w:tab w:val="left" w:pos="567"/>
                <w:tab w:val="left" w:pos="1134"/>
                <w:tab w:val="left" w:pos="1701"/>
                <w:tab w:val="left" w:pos="2268"/>
              </w:tabs>
              <w:ind w:left="567"/>
              <w:rPr>
                <w:rFonts w:cs="Arial"/>
                <w:b/>
                <w:sz w:val="18"/>
                <w:szCs w:val="22"/>
              </w:rPr>
            </w:pPr>
            <w:r w:rsidRPr="00C76328">
              <w:rPr>
                <w:rFonts w:cs="Arial"/>
                <w:b/>
                <w:sz w:val="18"/>
                <w:szCs w:val="22"/>
              </w:rPr>
              <w:t>Foreign currency</w:t>
            </w:r>
          </w:p>
        </w:tc>
        <w:tc>
          <w:tcPr>
            <w:tcW w:w="1000" w:type="pct"/>
            <w:tcBorders>
              <w:left w:val="nil"/>
              <w:right w:val="nil"/>
            </w:tcBorders>
            <w:vAlign w:val="center"/>
          </w:tcPr>
          <w:p w:rsidR="0092140F" w:rsidRPr="00C76328" w:rsidRDefault="0092140F" w:rsidP="00704CC0">
            <w:pPr>
              <w:keepNext/>
              <w:keepLines/>
              <w:tabs>
                <w:tab w:val="left" w:pos="567"/>
                <w:tab w:val="left" w:pos="1134"/>
                <w:tab w:val="left" w:pos="1701"/>
                <w:tab w:val="left" w:pos="2268"/>
              </w:tabs>
              <w:jc w:val="right"/>
              <w:rPr>
                <w:rFonts w:cs="Arial"/>
                <w:b/>
                <w:bCs/>
                <w:sz w:val="18"/>
                <w:szCs w:val="22"/>
              </w:rPr>
            </w:pPr>
            <w:r w:rsidRPr="00C76328">
              <w:rPr>
                <w:rFonts w:cs="Arial"/>
                <w:b/>
                <w:bCs/>
                <w:sz w:val="18"/>
                <w:szCs w:val="22"/>
              </w:rPr>
              <w:t>INR</w:t>
            </w:r>
          </w:p>
        </w:tc>
        <w:tc>
          <w:tcPr>
            <w:tcW w:w="1000" w:type="pct"/>
            <w:tcBorders>
              <w:left w:val="nil"/>
              <w:right w:val="nil"/>
            </w:tcBorders>
            <w:shd w:val="clear" w:color="auto" w:fill="auto"/>
            <w:vAlign w:val="center"/>
          </w:tcPr>
          <w:p w:rsidR="0092140F" w:rsidRPr="00C76328" w:rsidRDefault="0092140F" w:rsidP="00704CC0">
            <w:pPr>
              <w:keepNext/>
              <w:keepLines/>
              <w:tabs>
                <w:tab w:val="left" w:pos="567"/>
                <w:tab w:val="left" w:pos="1134"/>
                <w:tab w:val="left" w:pos="1701"/>
                <w:tab w:val="left" w:pos="2268"/>
              </w:tabs>
              <w:jc w:val="right"/>
              <w:rPr>
                <w:rFonts w:cs="Arial"/>
                <w:b/>
                <w:bCs/>
                <w:sz w:val="18"/>
                <w:szCs w:val="22"/>
              </w:rPr>
            </w:pPr>
            <w:r w:rsidRPr="00C76328">
              <w:rPr>
                <w:rFonts w:cs="Arial"/>
                <w:b/>
                <w:bCs/>
                <w:sz w:val="18"/>
                <w:szCs w:val="22"/>
              </w:rPr>
              <w:t>USD</w:t>
            </w:r>
          </w:p>
        </w:tc>
      </w:tr>
      <w:tr w:rsidR="0092140F" w:rsidRPr="00A76890" w:rsidTr="00562F9C">
        <w:tblPrEx>
          <w:tblBorders>
            <w:bottom w:val="none" w:sz="0" w:space="0" w:color="auto"/>
          </w:tblBorders>
        </w:tblPrEx>
        <w:trPr>
          <w:trHeight w:val="20"/>
        </w:trPr>
        <w:tc>
          <w:tcPr>
            <w:tcW w:w="3000" w:type="pct"/>
            <w:tcBorders>
              <w:left w:val="nil"/>
              <w:right w:val="nil"/>
            </w:tcBorders>
            <w:shd w:val="clear" w:color="auto" w:fill="auto"/>
            <w:noWrap/>
            <w:vAlign w:val="bottom"/>
          </w:tcPr>
          <w:p w:rsidR="0092140F" w:rsidRPr="00C76328" w:rsidRDefault="0092140F" w:rsidP="00704CC0">
            <w:pPr>
              <w:keepNext/>
              <w:keepLines/>
              <w:tabs>
                <w:tab w:val="left" w:pos="567"/>
                <w:tab w:val="left" w:pos="1134"/>
                <w:tab w:val="left" w:pos="1701"/>
                <w:tab w:val="left" w:pos="2268"/>
              </w:tabs>
              <w:ind w:left="567"/>
              <w:rPr>
                <w:rFonts w:cs="Arial"/>
                <w:b/>
                <w:sz w:val="18"/>
                <w:szCs w:val="22"/>
              </w:rPr>
            </w:pPr>
            <w:r w:rsidRPr="00C76328">
              <w:rPr>
                <w:rFonts w:cs="Arial"/>
                <w:b/>
                <w:sz w:val="18"/>
                <w:szCs w:val="22"/>
              </w:rPr>
              <w:t>31 August 201</w:t>
            </w:r>
            <w:r w:rsidR="00301A4A" w:rsidRPr="00C76328">
              <w:rPr>
                <w:rFonts w:cs="Arial"/>
                <w:b/>
                <w:sz w:val="18"/>
                <w:szCs w:val="22"/>
              </w:rPr>
              <w:t>3</w:t>
            </w:r>
          </w:p>
        </w:tc>
        <w:tc>
          <w:tcPr>
            <w:tcW w:w="1000" w:type="pct"/>
            <w:tcBorders>
              <w:left w:val="nil"/>
              <w:right w:val="nil"/>
            </w:tcBorders>
          </w:tcPr>
          <w:p w:rsidR="0092140F" w:rsidRPr="00C76328" w:rsidRDefault="0092140F" w:rsidP="00704CC0">
            <w:pPr>
              <w:keepNext/>
              <w:keepLines/>
              <w:tabs>
                <w:tab w:val="left" w:pos="567"/>
                <w:tab w:val="left" w:pos="1134"/>
                <w:tab w:val="left" w:pos="1701"/>
                <w:tab w:val="left" w:pos="2268"/>
              </w:tabs>
              <w:autoSpaceDE w:val="0"/>
              <w:autoSpaceDN w:val="0"/>
              <w:adjustRightInd w:val="0"/>
              <w:jc w:val="right"/>
              <w:rPr>
                <w:rFonts w:eastAsia="Calibri" w:cs="Arial"/>
                <w:bCs/>
                <w:color w:val="000000"/>
                <w:sz w:val="18"/>
                <w:szCs w:val="22"/>
              </w:rPr>
            </w:pPr>
          </w:p>
        </w:tc>
        <w:tc>
          <w:tcPr>
            <w:tcW w:w="1000" w:type="pct"/>
            <w:tcBorders>
              <w:left w:val="nil"/>
              <w:right w:val="nil"/>
            </w:tcBorders>
            <w:shd w:val="clear" w:color="auto" w:fill="auto"/>
            <w:noWrap/>
          </w:tcPr>
          <w:p w:rsidR="0092140F" w:rsidRPr="00C76328" w:rsidRDefault="0092140F" w:rsidP="00704CC0">
            <w:pPr>
              <w:keepNext/>
              <w:keepLines/>
              <w:tabs>
                <w:tab w:val="left" w:pos="567"/>
                <w:tab w:val="left" w:pos="1134"/>
                <w:tab w:val="left" w:pos="1701"/>
                <w:tab w:val="left" w:pos="2268"/>
              </w:tabs>
              <w:autoSpaceDE w:val="0"/>
              <w:autoSpaceDN w:val="0"/>
              <w:adjustRightInd w:val="0"/>
              <w:jc w:val="right"/>
              <w:rPr>
                <w:rFonts w:eastAsia="Calibri" w:cs="Arial"/>
                <w:bCs/>
                <w:color w:val="000000"/>
                <w:sz w:val="18"/>
                <w:szCs w:val="22"/>
              </w:rPr>
            </w:pPr>
          </w:p>
        </w:tc>
      </w:tr>
      <w:tr w:rsidR="0092140F" w:rsidRPr="00A76890" w:rsidTr="00562F9C">
        <w:tblPrEx>
          <w:tblBorders>
            <w:bottom w:val="none" w:sz="0" w:space="0" w:color="auto"/>
          </w:tblBorders>
        </w:tblPrEx>
        <w:trPr>
          <w:trHeight w:val="20"/>
        </w:trPr>
        <w:tc>
          <w:tcPr>
            <w:tcW w:w="3000" w:type="pct"/>
            <w:tcBorders>
              <w:left w:val="nil"/>
              <w:bottom w:val="nil"/>
              <w:right w:val="nil"/>
            </w:tcBorders>
            <w:shd w:val="clear" w:color="auto" w:fill="auto"/>
            <w:noWrap/>
            <w:vAlign w:val="center"/>
          </w:tcPr>
          <w:p w:rsidR="0092140F" w:rsidRPr="00C76328" w:rsidRDefault="0092140F" w:rsidP="00704CC0">
            <w:pPr>
              <w:keepNext/>
              <w:keepLines/>
              <w:tabs>
                <w:tab w:val="left" w:pos="567"/>
                <w:tab w:val="left" w:pos="1134"/>
                <w:tab w:val="left" w:pos="1701"/>
                <w:tab w:val="left" w:pos="2268"/>
              </w:tabs>
              <w:ind w:left="567"/>
              <w:rPr>
                <w:rFonts w:cs="Arial"/>
                <w:sz w:val="18"/>
                <w:szCs w:val="22"/>
              </w:rPr>
            </w:pPr>
            <w:r w:rsidRPr="00C76328">
              <w:rPr>
                <w:rFonts w:cs="Arial"/>
                <w:sz w:val="18"/>
                <w:szCs w:val="22"/>
              </w:rPr>
              <w:t>Financial assets</w:t>
            </w:r>
          </w:p>
        </w:tc>
        <w:tc>
          <w:tcPr>
            <w:tcW w:w="1000" w:type="pct"/>
            <w:tcBorders>
              <w:left w:val="nil"/>
              <w:bottom w:val="nil"/>
              <w:right w:val="nil"/>
            </w:tcBorders>
            <w:vAlign w:val="center"/>
          </w:tcPr>
          <w:p w:rsidR="0092140F" w:rsidRPr="00C76328" w:rsidRDefault="00CD4D00" w:rsidP="00704CC0">
            <w:pPr>
              <w:keepNext/>
              <w:keepLines/>
              <w:tabs>
                <w:tab w:val="left" w:pos="567"/>
                <w:tab w:val="left" w:pos="1134"/>
                <w:tab w:val="left" w:pos="1701"/>
                <w:tab w:val="left" w:pos="2268"/>
              </w:tabs>
              <w:autoSpaceDE w:val="0"/>
              <w:autoSpaceDN w:val="0"/>
              <w:adjustRightInd w:val="0"/>
              <w:jc w:val="right"/>
              <w:rPr>
                <w:rFonts w:cs="Arial"/>
                <w:b/>
                <w:color w:val="000000"/>
                <w:sz w:val="18"/>
                <w:szCs w:val="22"/>
              </w:rPr>
            </w:pPr>
            <w:r w:rsidRPr="00C76328">
              <w:rPr>
                <w:rFonts w:cs="Arial"/>
                <w:b/>
                <w:color w:val="000000"/>
                <w:sz w:val="18"/>
                <w:szCs w:val="22"/>
              </w:rPr>
              <w:t>6,16</w:t>
            </w:r>
            <w:r w:rsidR="007828D3" w:rsidRPr="00C76328">
              <w:rPr>
                <w:rFonts w:cs="Arial"/>
                <w:b/>
                <w:color w:val="000000"/>
                <w:sz w:val="18"/>
                <w:szCs w:val="22"/>
              </w:rPr>
              <w:t>8</w:t>
            </w:r>
          </w:p>
        </w:tc>
        <w:tc>
          <w:tcPr>
            <w:tcW w:w="1000" w:type="pct"/>
            <w:tcBorders>
              <w:left w:val="nil"/>
              <w:bottom w:val="nil"/>
              <w:right w:val="nil"/>
            </w:tcBorders>
            <w:shd w:val="clear" w:color="auto" w:fill="auto"/>
            <w:noWrap/>
            <w:vAlign w:val="center"/>
          </w:tcPr>
          <w:p w:rsidR="0092140F" w:rsidRPr="00C76328" w:rsidRDefault="00CD4D00" w:rsidP="00704CC0">
            <w:pPr>
              <w:keepNext/>
              <w:keepLines/>
              <w:tabs>
                <w:tab w:val="left" w:pos="567"/>
                <w:tab w:val="left" w:pos="1134"/>
                <w:tab w:val="left" w:pos="1701"/>
                <w:tab w:val="left" w:pos="2268"/>
              </w:tabs>
              <w:autoSpaceDE w:val="0"/>
              <w:autoSpaceDN w:val="0"/>
              <w:adjustRightInd w:val="0"/>
              <w:jc w:val="right"/>
              <w:rPr>
                <w:rFonts w:cs="Arial"/>
                <w:b/>
                <w:color w:val="000000"/>
                <w:sz w:val="18"/>
                <w:szCs w:val="22"/>
              </w:rPr>
            </w:pPr>
            <w:r w:rsidRPr="00C76328">
              <w:rPr>
                <w:rFonts w:cs="Arial"/>
                <w:b/>
                <w:color w:val="000000"/>
                <w:sz w:val="18"/>
                <w:szCs w:val="22"/>
              </w:rPr>
              <w:t>600</w:t>
            </w:r>
          </w:p>
        </w:tc>
      </w:tr>
      <w:tr w:rsidR="0092140F" w:rsidRPr="00A76890" w:rsidTr="00562F9C">
        <w:tblPrEx>
          <w:tblBorders>
            <w:bottom w:val="none" w:sz="0" w:space="0" w:color="auto"/>
          </w:tblBorders>
        </w:tblPrEx>
        <w:trPr>
          <w:trHeight w:val="20"/>
        </w:trPr>
        <w:tc>
          <w:tcPr>
            <w:tcW w:w="3000" w:type="pct"/>
            <w:tcBorders>
              <w:top w:val="nil"/>
              <w:left w:val="nil"/>
              <w:bottom w:val="nil"/>
              <w:right w:val="nil"/>
            </w:tcBorders>
            <w:shd w:val="clear" w:color="auto" w:fill="auto"/>
            <w:noWrap/>
            <w:vAlign w:val="center"/>
          </w:tcPr>
          <w:p w:rsidR="0092140F" w:rsidRPr="00C76328" w:rsidRDefault="0092140F" w:rsidP="00704CC0">
            <w:pPr>
              <w:keepNext/>
              <w:keepLines/>
              <w:tabs>
                <w:tab w:val="left" w:pos="567"/>
                <w:tab w:val="left" w:pos="1134"/>
                <w:tab w:val="left" w:pos="1701"/>
                <w:tab w:val="left" w:pos="2268"/>
              </w:tabs>
              <w:ind w:left="567"/>
              <w:rPr>
                <w:rFonts w:cs="Arial"/>
                <w:sz w:val="18"/>
                <w:szCs w:val="22"/>
              </w:rPr>
            </w:pPr>
            <w:r w:rsidRPr="00C76328">
              <w:rPr>
                <w:rFonts w:cs="Arial"/>
                <w:sz w:val="18"/>
                <w:szCs w:val="22"/>
              </w:rPr>
              <w:t>Financial liabilities</w:t>
            </w:r>
          </w:p>
        </w:tc>
        <w:tc>
          <w:tcPr>
            <w:tcW w:w="1000" w:type="pct"/>
            <w:tcBorders>
              <w:top w:val="nil"/>
              <w:left w:val="nil"/>
              <w:bottom w:val="single" w:sz="4" w:space="0" w:color="auto"/>
              <w:right w:val="nil"/>
            </w:tcBorders>
            <w:vAlign w:val="center"/>
          </w:tcPr>
          <w:p w:rsidR="0092140F" w:rsidRPr="00C76328" w:rsidRDefault="00C5423D" w:rsidP="00704CC0">
            <w:pPr>
              <w:keepNext/>
              <w:keepLines/>
              <w:tabs>
                <w:tab w:val="left" w:pos="567"/>
                <w:tab w:val="left" w:pos="1134"/>
                <w:tab w:val="left" w:pos="1701"/>
                <w:tab w:val="left" w:pos="2268"/>
              </w:tabs>
              <w:autoSpaceDE w:val="0"/>
              <w:autoSpaceDN w:val="0"/>
              <w:adjustRightInd w:val="0"/>
              <w:jc w:val="right"/>
              <w:rPr>
                <w:rFonts w:cs="Arial"/>
                <w:b/>
                <w:color w:val="000000"/>
                <w:sz w:val="18"/>
                <w:szCs w:val="22"/>
              </w:rPr>
            </w:pPr>
            <w:r w:rsidRPr="00C76328">
              <w:rPr>
                <w:rFonts w:cs="Arial"/>
                <w:b/>
                <w:color w:val="000000"/>
                <w:sz w:val="18"/>
                <w:szCs w:val="22"/>
              </w:rPr>
              <w:t>-</w:t>
            </w:r>
          </w:p>
        </w:tc>
        <w:tc>
          <w:tcPr>
            <w:tcW w:w="1000" w:type="pct"/>
            <w:tcBorders>
              <w:top w:val="nil"/>
              <w:left w:val="nil"/>
              <w:bottom w:val="single" w:sz="4" w:space="0" w:color="auto"/>
              <w:right w:val="nil"/>
            </w:tcBorders>
            <w:shd w:val="clear" w:color="auto" w:fill="auto"/>
            <w:noWrap/>
            <w:vAlign w:val="center"/>
          </w:tcPr>
          <w:p w:rsidR="0092140F" w:rsidRPr="00C76328" w:rsidRDefault="00CD4D00" w:rsidP="00704CC0">
            <w:pPr>
              <w:keepNext/>
              <w:keepLines/>
              <w:tabs>
                <w:tab w:val="left" w:pos="567"/>
                <w:tab w:val="left" w:pos="1134"/>
                <w:tab w:val="left" w:pos="1701"/>
                <w:tab w:val="left" w:pos="2268"/>
              </w:tabs>
              <w:autoSpaceDE w:val="0"/>
              <w:autoSpaceDN w:val="0"/>
              <w:adjustRightInd w:val="0"/>
              <w:jc w:val="right"/>
              <w:rPr>
                <w:rFonts w:cs="Arial"/>
                <w:b/>
                <w:color w:val="000000"/>
                <w:sz w:val="18"/>
                <w:szCs w:val="22"/>
              </w:rPr>
            </w:pPr>
            <w:r w:rsidRPr="00C76328">
              <w:rPr>
                <w:rFonts w:cs="Arial"/>
                <w:b/>
                <w:color w:val="000000"/>
                <w:sz w:val="18"/>
                <w:szCs w:val="22"/>
              </w:rPr>
              <w:t>32</w:t>
            </w:r>
          </w:p>
        </w:tc>
      </w:tr>
      <w:tr w:rsidR="0092140F" w:rsidRPr="00A76890" w:rsidTr="00562F9C">
        <w:tblPrEx>
          <w:tblBorders>
            <w:bottom w:val="none" w:sz="0" w:space="0" w:color="auto"/>
          </w:tblBorders>
        </w:tblPrEx>
        <w:trPr>
          <w:trHeight w:val="20"/>
        </w:trPr>
        <w:tc>
          <w:tcPr>
            <w:tcW w:w="3000" w:type="pct"/>
            <w:tcBorders>
              <w:left w:val="nil"/>
              <w:right w:val="nil"/>
            </w:tcBorders>
            <w:shd w:val="clear" w:color="auto" w:fill="auto"/>
            <w:noWrap/>
          </w:tcPr>
          <w:p w:rsidR="0092140F" w:rsidRPr="00C76328" w:rsidRDefault="0092140F" w:rsidP="00704CC0">
            <w:pPr>
              <w:keepNext/>
              <w:keepLines/>
              <w:tabs>
                <w:tab w:val="left" w:pos="567"/>
                <w:tab w:val="left" w:pos="1134"/>
                <w:tab w:val="left" w:pos="1701"/>
                <w:tab w:val="left" w:pos="2268"/>
              </w:tabs>
              <w:ind w:left="567"/>
              <w:rPr>
                <w:rFonts w:cs="Arial"/>
                <w:b/>
                <w:bCs/>
                <w:sz w:val="18"/>
                <w:szCs w:val="22"/>
              </w:rPr>
            </w:pPr>
            <w:r w:rsidRPr="00C76328">
              <w:rPr>
                <w:rFonts w:cs="Arial"/>
                <w:b/>
                <w:bCs/>
                <w:sz w:val="18"/>
                <w:szCs w:val="22"/>
              </w:rPr>
              <w:t>Net short</w:t>
            </w:r>
            <w:r w:rsidR="000E1E34" w:rsidRPr="00C76328">
              <w:rPr>
                <w:rFonts w:cs="Arial"/>
                <w:b/>
                <w:bCs/>
                <w:sz w:val="18"/>
                <w:szCs w:val="22"/>
              </w:rPr>
              <w:t xml:space="preserve"> </w:t>
            </w:r>
            <w:r w:rsidRPr="00C76328">
              <w:rPr>
                <w:rFonts w:cs="Arial"/>
                <w:b/>
                <w:bCs/>
                <w:sz w:val="18"/>
                <w:szCs w:val="22"/>
              </w:rPr>
              <w:t>-term exposure</w:t>
            </w:r>
          </w:p>
        </w:tc>
        <w:tc>
          <w:tcPr>
            <w:tcW w:w="1000" w:type="pct"/>
            <w:tcBorders>
              <w:top w:val="single" w:sz="4" w:space="0" w:color="auto"/>
              <w:left w:val="nil"/>
              <w:bottom w:val="single" w:sz="4" w:space="0" w:color="auto"/>
              <w:right w:val="nil"/>
            </w:tcBorders>
            <w:vAlign w:val="center"/>
          </w:tcPr>
          <w:p w:rsidR="0092140F" w:rsidRPr="00C76328" w:rsidRDefault="00CD4D00" w:rsidP="00704CC0">
            <w:pPr>
              <w:keepNext/>
              <w:keepLines/>
              <w:tabs>
                <w:tab w:val="left" w:pos="567"/>
                <w:tab w:val="left" w:pos="1134"/>
                <w:tab w:val="left" w:pos="1701"/>
                <w:tab w:val="left" w:pos="2268"/>
              </w:tabs>
              <w:autoSpaceDE w:val="0"/>
              <w:autoSpaceDN w:val="0"/>
              <w:adjustRightInd w:val="0"/>
              <w:jc w:val="right"/>
              <w:rPr>
                <w:rFonts w:cs="Arial"/>
                <w:b/>
                <w:bCs/>
                <w:color w:val="000000"/>
                <w:sz w:val="18"/>
                <w:szCs w:val="22"/>
              </w:rPr>
            </w:pPr>
            <w:r w:rsidRPr="00C76328">
              <w:rPr>
                <w:rFonts w:cs="Arial"/>
                <w:b/>
                <w:bCs/>
                <w:color w:val="000000"/>
                <w:sz w:val="18"/>
                <w:szCs w:val="22"/>
              </w:rPr>
              <w:t>6,16</w:t>
            </w:r>
            <w:r w:rsidR="007828D3" w:rsidRPr="00C76328">
              <w:rPr>
                <w:rFonts w:cs="Arial"/>
                <w:b/>
                <w:bCs/>
                <w:color w:val="000000"/>
                <w:sz w:val="18"/>
                <w:szCs w:val="22"/>
              </w:rPr>
              <w:t>8</w:t>
            </w:r>
          </w:p>
        </w:tc>
        <w:tc>
          <w:tcPr>
            <w:tcW w:w="1000" w:type="pct"/>
            <w:tcBorders>
              <w:top w:val="single" w:sz="4" w:space="0" w:color="auto"/>
              <w:left w:val="nil"/>
              <w:bottom w:val="single" w:sz="4" w:space="0" w:color="auto"/>
              <w:right w:val="nil"/>
            </w:tcBorders>
            <w:shd w:val="clear" w:color="auto" w:fill="auto"/>
            <w:noWrap/>
            <w:vAlign w:val="center"/>
          </w:tcPr>
          <w:p w:rsidR="0092140F" w:rsidRPr="00C76328" w:rsidRDefault="00CD4D00" w:rsidP="00704CC0">
            <w:pPr>
              <w:keepNext/>
              <w:keepLines/>
              <w:tabs>
                <w:tab w:val="left" w:pos="567"/>
                <w:tab w:val="left" w:pos="1134"/>
                <w:tab w:val="left" w:pos="1701"/>
                <w:tab w:val="left" w:pos="2268"/>
              </w:tabs>
              <w:autoSpaceDE w:val="0"/>
              <w:autoSpaceDN w:val="0"/>
              <w:adjustRightInd w:val="0"/>
              <w:jc w:val="right"/>
              <w:rPr>
                <w:rFonts w:eastAsia="Calibri" w:cs="Arial"/>
                <w:b/>
                <w:bCs/>
                <w:color w:val="000000"/>
                <w:sz w:val="18"/>
                <w:szCs w:val="22"/>
              </w:rPr>
            </w:pPr>
            <w:r w:rsidRPr="00C76328">
              <w:rPr>
                <w:rFonts w:eastAsia="Calibri" w:cs="Arial"/>
                <w:b/>
                <w:bCs/>
                <w:color w:val="000000"/>
                <w:sz w:val="18"/>
                <w:szCs w:val="22"/>
              </w:rPr>
              <w:t>568</w:t>
            </w:r>
          </w:p>
        </w:tc>
      </w:tr>
      <w:tr w:rsidR="0092140F" w:rsidRPr="00A76890" w:rsidTr="00562F9C">
        <w:tblPrEx>
          <w:tblBorders>
            <w:bottom w:val="none" w:sz="0" w:space="0" w:color="auto"/>
          </w:tblBorders>
        </w:tblPrEx>
        <w:trPr>
          <w:trHeight w:val="20"/>
        </w:trPr>
        <w:tc>
          <w:tcPr>
            <w:tcW w:w="3000" w:type="pct"/>
            <w:tcBorders>
              <w:left w:val="nil"/>
              <w:right w:val="nil"/>
            </w:tcBorders>
            <w:shd w:val="clear" w:color="auto" w:fill="auto"/>
            <w:noWrap/>
            <w:vAlign w:val="center"/>
          </w:tcPr>
          <w:p w:rsidR="0092140F" w:rsidRPr="00C76328" w:rsidRDefault="0092140F" w:rsidP="00704CC0">
            <w:pPr>
              <w:keepNext/>
              <w:keepLines/>
              <w:tabs>
                <w:tab w:val="left" w:pos="567"/>
                <w:tab w:val="left" w:pos="1134"/>
                <w:tab w:val="left" w:pos="1701"/>
                <w:tab w:val="left" w:pos="2268"/>
              </w:tabs>
              <w:ind w:left="567"/>
              <w:rPr>
                <w:rFonts w:cs="Arial"/>
                <w:b/>
                <w:sz w:val="18"/>
                <w:szCs w:val="22"/>
                <w:highlight w:val="yellow"/>
              </w:rPr>
            </w:pPr>
          </w:p>
        </w:tc>
        <w:tc>
          <w:tcPr>
            <w:tcW w:w="1000" w:type="pct"/>
            <w:tcBorders>
              <w:top w:val="single" w:sz="4" w:space="0" w:color="auto"/>
              <w:left w:val="nil"/>
              <w:right w:val="nil"/>
            </w:tcBorders>
          </w:tcPr>
          <w:p w:rsidR="0092140F" w:rsidRPr="00C76328" w:rsidRDefault="0092140F" w:rsidP="00704CC0">
            <w:pPr>
              <w:keepNext/>
              <w:keepLines/>
              <w:tabs>
                <w:tab w:val="left" w:pos="567"/>
                <w:tab w:val="left" w:pos="1134"/>
                <w:tab w:val="left" w:pos="1701"/>
                <w:tab w:val="left" w:pos="2268"/>
              </w:tabs>
              <w:autoSpaceDE w:val="0"/>
              <w:autoSpaceDN w:val="0"/>
              <w:adjustRightInd w:val="0"/>
              <w:jc w:val="right"/>
              <w:rPr>
                <w:rFonts w:eastAsia="Calibri" w:cs="Arial"/>
                <w:b/>
                <w:bCs/>
                <w:color w:val="000000"/>
                <w:sz w:val="18"/>
                <w:szCs w:val="22"/>
                <w:highlight w:val="yellow"/>
              </w:rPr>
            </w:pPr>
          </w:p>
        </w:tc>
        <w:tc>
          <w:tcPr>
            <w:tcW w:w="1000" w:type="pct"/>
            <w:tcBorders>
              <w:top w:val="single" w:sz="4" w:space="0" w:color="auto"/>
              <w:left w:val="nil"/>
              <w:right w:val="nil"/>
            </w:tcBorders>
            <w:shd w:val="clear" w:color="auto" w:fill="auto"/>
            <w:noWrap/>
          </w:tcPr>
          <w:p w:rsidR="0092140F" w:rsidRPr="00C76328" w:rsidRDefault="0092140F" w:rsidP="00704CC0">
            <w:pPr>
              <w:keepNext/>
              <w:keepLines/>
              <w:tabs>
                <w:tab w:val="left" w:pos="567"/>
                <w:tab w:val="left" w:pos="1134"/>
                <w:tab w:val="left" w:pos="1701"/>
                <w:tab w:val="left" w:pos="2268"/>
              </w:tabs>
              <w:autoSpaceDE w:val="0"/>
              <w:autoSpaceDN w:val="0"/>
              <w:adjustRightInd w:val="0"/>
              <w:jc w:val="right"/>
              <w:rPr>
                <w:rFonts w:eastAsia="Calibri" w:cs="Arial"/>
                <w:b/>
                <w:bCs/>
                <w:color w:val="000000"/>
                <w:sz w:val="18"/>
                <w:szCs w:val="22"/>
                <w:highlight w:val="yellow"/>
              </w:rPr>
            </w:pPr>
          </w:p>
        </w:tc>
      </w:tr>
      <w:tr w:rsidR="0092140F" w:rsidRPr="00A76890" w:rsidTr="00562F9C">
        <w:tblPrEx>
          <w:tblBorders>
            <w:bottom w:val="none" w:sz="0" w:space="0" w:color="auto"/>
          </w:tblBorders>
        </w:tblPrEx>
        <w:trPr>
          <w:trHeight w:val="20"/>
        </w:trPr>
        <w:tc>
          <w:tcPr>
            <w:tcW w:w="3000" w:type="pct"/>
            <w:tcBorders>
              <w:left w:val="nil"/>
              <w:right w:val="nil"/>
            </w:tcBorders>
            <w:shd w:val="clear" w:color="auto" w:fill="auto"/>
            <w:noWrap/>
            <w:vAlign w:val="bottom"/>
          </w:tcPr>
          <w:p w:rsidR="0092140F" w:rsidRPr="00C76328" w:rsidRDefault="0092140F" w:rsidP="00704CC0">
            <w:pPr>
              <w:keepNext/>
              <w:keepLines/>
              <w:tabs>
                <w:tab w:val="left" w:pos="567"/>
                <w:tab w:val="left" w:pos="1134"/>
                <w:tab w:val="left" w:pos="1701"/>
                <w:tab w:val="left" w:pos="2268"/>
              </w:tabs>
              <w:ind w:left="567"/>
              <w:rPr>
                <w:rFonts w:cs="Arial"/>
                <w:sz w:val="18"/>
                <w:szCs w:val="22"/>
              </w:rPr>
            </w:pPr>
            <w:r w:rsidRPr="00C76328">
              <w:rPr>
                <w:rFonts w:cs="Arial"/>
                <w:sz w:val="18"/>
                <w:szCs w:val="22"/>
              </w:rPr>
              <w:t>31 August 201</w:t>
            </w:r>
            <w:r w:rsidR="00301A4A" w:rsidRPr="00C76328">
              <w:rPr>
                <w:rFonts w:cs="Arial"/>
                <w:sz w:val="18"/>
                <w:szCs w:val="22"/>
              </w:rPr>
              <w:t>2</w:t>
            </w:r>
          </w:p>
        </w:tc>
        <w:tc>
          <w:tcPr>
            <w:tcW w:w="1000" w:type="pct"/>
            <w:tcBorders>
              <w:left w:val="nil"/>
              <w:right w:val="nil"/>
            </w:tcBorders>
          </w:tcPr>
          <w:p w:rsidR="0092140F" w:rsidRPr="00C76328" w:rsidRDefault="0092140F" w:rsidP="00704CC0">
            <w:pPr>
              <w:keepNext/>
              <w:keepLines/>
              <w:tabs>
                <w:tab w:val="left" w:pos="567"/>
                <w:tab w:val="left" w:pos="1134"/>
                <w:tab w:val="left" w:pos="1701"/>
                <w:tab w:val="left" w:pos="2268"/>
              </w:tabs>
              <w:autoSpaceDE w:val="0"/>
              <w:autoSpaceDN w:val="0"/>
              <w:adjustRightInd w:val="0"/>
              <w:jc w:val="right"/>
              <w:rPr>
                <w:rFonts w:eastAsia="Calibri" w:cs="Arial"/>
                <w:bCs/>
                <w:color w:val="000000"/>
                <w:sz w:val="18"/>
                <w:szCs w:val="22"/>
              </w:rPr>
            </w:pPr>
          </w:p>
        </w:tc>
        <w:tc>
          <w:tcPr>
            <w:tcW w:w="1000" w:type="pct"/>
            <w:tcBorders>
              <w:left w:val="nil"/>
              <w:right w:val="nil"/>
            </w:tcBorders>
            <w:shd w:val="clear" w:color="auto" w:fill="auto"/>
            <w:noWrap/>
          </w:tcPr>
          <w:p w:rsidR="0092140F" w:rsidRPr="00C76328" w:rsidRDefault="0092140F" w:rsidP="00704CC0">
            <w:pPr>
              <w:keepNext/>
              <w:keepLines/>
              <w:tabs>
                <w:tab w:val="left" w:pos="567"/>
                <w:tab w:val="left" w:pos="1134"/>
                <w:tab w:val="left" w:pos="1701"/>
                <w:tab w:val="left" w:pos="2268"/>
              </w:tabs>
              <w:autoSpaceDE w:val="0"/>
              <w:autoSpaceDN w:val="0"/>
              <w:adjustRightInd w:val="0"/>
              <w:jc w:val="right"/>
              <w:rPr>
                <w:rFonts w:eastAsia="Calibri" w:cs="Arial"/>
                <w:bCs/>
                <w:color w:val="000000"/>
                <w:sz w:val="18"/>
                <w:szCs w:val="22"/>
              </w:rPr>
            </w:pPr>
          </w:p>
        </w:tc>
      </w:tr>
      <w:tr w:rsidR="00301A4A" w:rsidRPr="00A76890" w:rsidTr="00562F9C">
        <w:tblPrEx>
          <w:tblBorders>
            <w:bottom w:val="none" w:sz="0" w:space="0" w:color="auto"/>
          </w:tblBorders>
        </w:tblPrEx>
        <w:trPr>
          <w:trHeight w:val="20"/>
        </w:trPr>
        <w:tc>
          <w:tcPr>
            <w:tcW w:w="3000" w:type="pct"/>
            <w:tcBorders>
              <w:left w:val="nil"/>
              <w:right w:val="nil"/>
            </w:tcBorders>
            <w:shd w:val="clear" w:color="auto" w:fill="auto"/>
            <w:noWrap/>
            <w:vAlign w:val="center"/>
          </w:tcPr>
          <w:p w:rsidR="00301A4A" w:rsidRPr="00C76328" w:rsidRDefault="00301A4A" w:rsidP="00704CC0">
            <w:pPr>
              <w:keepNext/>
              <w:keepLines/>
              <w:tabs>
                <w:tab w:val="left" w:pos="567"/>
                <w:tab w:val="left" w:pos="1134"/>
                <w:tab w:val="left" w:pos="1701"/>
                <w:tab w:val="left" w:pos="2268"/>
              </w:tabs>
              <w:ind w:left="567"/>
              <w:rPr>
                <w:rFonts w:cs="Arial"/>
                <w:sz w:val="18"/>
                <w:szCs w:val="22"/>
              </w:rPr>
            </w:pPr>
            <w:r w:rsidRPr="00C76328">
              <w:rPr>
                <w:rFonts w:cs="Arial"/>
                <w:sz w:val="18"/>
                <w:szCs w:val="22"/>
              </w:rPr>
              <w:t>Financial assets</w:t>
            </w:r>
          </w:p>
        </w:tc>
        <w:tc>
          <w:tcPr>
            <w:tcW w:w="1000" w:type="pct"/>
            <w:tcBorders>
              <w:left w:val="nil"/>
              <w:right w:val="nil"/>
            </w:tcBorders>
            <w:vAlign w:val="center"/>
          </w:tcPr>
          <w:p w:rsidR="00301A4A" w:rsidRPr="00C76328" w:rsidRDefault="00301A4A" w:rsidP="00704CC0">
            <w:pPr>
              <w:keepNext/>
              <w:keepLines/>
              <w:tabs>
                <w:tab w:val="left" w:pos="567"/>
                <w:tab w:val="left" w:pos="1134"/>
                <w:tab w:val="left" w:pos="1701"/>
                <w:tab w:val="left" w:pos="2268"/>
              </w:tabs>
              <w:autoSpaceDE w:val="0"/>
              <w:autoSpaceDN w:val="0"/>
              <w:adjustRightInd w:val="0"/>
              <w:jc w:val="right"/>
              <w:rPr>
                <w:rFonts w:cs="Arial"/>
                <w:color w:val="000000"/>
                <w:sz w:val="18"/>
                <w:szCs w:val="22"/>
              </w:rPr>
            </w:pPr>
            <w:r w:rsidRPr="00C76328">
              <w:rPr>
                <w:rFonts w:eastAsia="Calibri" w:cs="Arial"/>
                <w:bCs/>
                <w:color w:val="000000"/>
                <w:sz w:val="18"/>
                <w:szCs w:val="22"/>
              </w:rPr>
              <w:t>13,261</w:t>
            </w:r>
          </w:p>
        </w:tc>
        <w:tc>
          <w:tcPr>
            <w:tcW w:w="1000" w:type="pct"/>
            <w:tcBorders>
              <w:left w:val="nil"/>
              <w:right w:val="nil"/>
            </w:tcBorders>
            <w:shd w:val="clear" w:color="auto" w:fill="auto"/>
            <w:noWrap/>
            <w:vAlign w:val="center"/>
          </w:tcPr>
          <w:p w:rsidR="00301A4A" w:rsidRPr="00C76328" w:rsidRDefault="00301A4A" w:rsidP="00704CC0">
            <w:pPr>
              <w:keepNext/>
              <w:keepLines/>
              <w:tabs>
                <w:tab w:val="left" w:pos="567"/>
                <w:tab w:val="left" w:pos="1134"/>
                <w:tab w:val="left" w:pos="1701"/>
                <w:tab w:val="left" w:pos="2268"/>
              </w:tabs>
              <w:autoSpaceDE w:val="0"/>
              <w:autoSpaceDN w:val="0"/>
              <w:adjustRightInd w:val="0"/>
              <w:jc w:val="right"/>
              <w:rPr>
                <w:rFonts w:cs="Arial"/>
                <w:color w:val="000000"/>
                <w:sz w:val="18"/>
                <w:szCs w:val="22"/>
              </w:rPr>
            </w:pPr>
            <w:r w:rsidRPr="00C76328">
              <w:rPr>
                <w:rFonts w:cs="Arial"/>
                <w:color w:val="000000"/>
                <w:sz w:val="18"/>
                <w:szCs w:val="22"/>
              </w:rPr>
              <w:t>1,596</w:t>
            </w:r>
          </w:p>
        </w:tc>
      </w:tr>
      <w:tr w:rsidR="00301A4A" w:rsidRPr="00A76890" w:rsidTr="00562F9C">
        <w:tblPrEx>
          <w:tblBorders>
            <w:bottom w:val="none" w:sz="0" w:space="0" w:color="auto"/>
          </w:tblBorders>
        </w:tblPrEx>
        <w:trPr>
          <w:trHeight w:val="20"/>
        </w:trPr>
        <w:tc>
          <w:tcPr>
            <w:tcW w:w="3000" w:type="pct"/>
            <w:tcBorders>
              <w:left w:val="nil"/>
              <w:right w:val="nil"/>
            </w:tcBorders>
            <w:shd w:val="clear" w:color="auto" w:fill="auto"/>
            <w:noWrap/>
            <w:vAlign w:val="center"/>
          </w:tcPr>
          <w:p w:rsidR="00301A4A" w:rsidRPr="00C76328" w:rsidRDefault="00301A4A" w:rsidP="00704CC0">
            <w:pPr>
              <w:keepNext/>
              <w:keepLines/>
              <w:tabs>
                <w:tab w:val="left" w:pos="567"/>
                <w:tab w:val="left" w:pos="1134"/>
                <w:tab w:val="left" w:pos="1701"/>
                <w:tab w:val="left" w:pos="2268"/>
              </w:tabs>
              <w:ind w:left="567"/>
              <w:rPr>
                <w:rFonts w:cs="Arial"/>
                <w:sz w:val="18"/>
                <w:szCs w:val="22"/>
              </w:rPr>
            </w:pPr>
            <w:r w:rsidRPr="00C76328">
              <w:rPr>
                <w:rFonts w:cs="Arial"/>
                <w:sz w:val="18"/>
                <w:szCs w:val="22"/>
              </w:rPr>
              <w:t>Financial liabilities</w:t>
            </w:r>
          </w:p>
        </w:tc>
        <w:tc>
          <w:tcPr>
            <w:tcW w:w="1000" w:type="pct"/>
            <w:tcBorders>
              <w:left w:val="nil"/>
              <w:bottom w:val="single" w:sz="4" w:space="0" w:color="auto"/>
              <w:right w:val="nil"/>
            </w:tcBorders>
            <w:vAlign w:val="center"/>
          </w:tcPr>
          <w:p w:rsidR="00301A4A" w:rsidRPr="00C76328" w:rsidRDefault="00301A4A" w:rsidP="00704CC0">
            <w:pPr>
              <w:keepNext/>
              <w:keepLines/>
              <w:tabs>
                <w:tab w:val="left" w:pos="567"/>
                <w:tab w:val="left" w:pos="1134"/>
                <w:tab w:val="left" w:pos="1701"/>
                <w:tab w:val="left" w:pos="2268"/>
              </w:tabs>
              <w:autoSpaceDE w:val="0"/>
              <w:autoSpaceDN w:val="0"/>
              <w:adjustRightInd w:val="0"/>
              <w:jc w:val="right"/>
              <w:rPr>
                <w:rFonts w:cs="Arial"/>
                <w:color w:val="000000"/>
                <w:sz w:val="18"/>
                <w:szCs w:val="22"/>
              </w:rPr>
            </w:pPr>
            <w:r w:rsidRPr="00C76328">
              <w:rPr>
                <w:rFonts w:cs="Arial"/>
                <w:color w:val="000000"/>
                <w:sz w:val="18"/>
                <w:szCs w:val="22"/>
              </w:rPr>
              <w:t>-</w:t>
            </w:r>
          </w:p>
        </w:tc>
        <w:tc>
          <w:tcPr>
            <w:tcW w:w="1000" w:type="pct"/>
            <w:tcBorders>
              <w:left w:val="nil"/>
              <w:bottom w:val="single" w:sz="4" w:space="0" w:color="auto"/>
              <w:right w:val="nil"/>
            </w:tcBorders>
            <w:shd w:val="clear" w:color="auto" w:fill="auto"/>
            <w:noWrap/>
            <w:vAlign w:val="center"/>
          </w:tcPr>
          <w:p w:rsidR="00301A4A" w:rsidRPr="00C76328" w:rsidRDefault="00301A4A" w:rsidP="00704CC0">
            <w:pPr>
              <w:keepNext/>
              <w:keepLines/>
              <w:tabs>
                <w:tab w:val="left" w:pos="567"/>
                <w:tab w:val="left" w:pos="1134"/>
                <w:tab w:val="left" w:pos="1701"/>
                <w:tab w:val="left" w:pos="2268"/>
              </w:tabs>
              <w:autoSpaceDE w:val="0"/>
              <w:autoSpaceDN w:val="0"/>
              <w:adjustRightInd w:val="0"/>
              <w:jc w:val="right"/>
              <w:rPr>
                <w:rFonts w:cs="Arial"/>
                <w:color w:val="000000"/>
                <w:sz w:val="18"/>
                <w:szCs w:val="22"/>
              </w:rPr>
            </w:pPr>
            <w:r w:rsidRPr="00C76328">
              <w:rPr>
                <w:rFonts w:cs="Arial"/>
                <w:color w:val="000000"/>
                <w:sz w:val="18"/>
                <w:szCs w:val="22"/>
              </w:rPr>
              <w:t>26</w:t>
            </w:r>
          </w:p>
        </w:tc>
      </w:tr>
      <w:tr w:rsidR="00301A4A" w:rsidRPr="00A76890" w:rsidTr="00562F9C">
        <w:tblPrEx>
          <w:tblBorders>
            <w:bottom w:val="none" w:sz="0" w:space="0" w:color="auto"/>
          </w:tblBorders>
        </w:tblPrEx>
        <w:trPr>
          <w:trHeight w:val="20"/>
        </w:trPr>
        <w:tc>
          <w:tcPr>
            <w:tcW w:w="3000" w:type="pct"/>
            <w:tcBorders>
              <w:left w:val="nil"/>
              <w:right w:val="nil"/>
            </w:tcBorders>
            <w:shd w:val="clear" w:color="auto" w:fill="auto"/>
            <w:noWrap/>
          </w:tcPr>
          <w:p w:rsidR="00301A4A" w:rsidRPr="00C76328" w:rsidRDefault="00301A4A" w:rsidP="00704CC0">
            <w:pPr>
              <w:tabs>
                <w:tab w:val="left" w:pos="567"/>
                <w:tab w:val="left" w:pos="1134"/>
                <w:tab w:val="left" w:pos="1701"/>
                <w:tab w:val="left" w:pos="2268"/>
              </w:tabs>
              <w:ind w:left="567"/>
              <w:rPr>
                <w:rFonts w:cs="Arial"/>
                <w:bCs/>
                <w:sz w:val="18"/>
                <w:szCs w:val="22"/>
              </w:rPr>
            </w:pPr>
            <w:r w:rsidRPr="00C76328">
              <w:rPr>
                <w:rFonts w:cs="Arial"/>
                <w:bCs/>
                <w:sz w:val="18"/>
                <w:szCs w:val="22"/>
              </w:rPr>
              <w:t>Net short-term exposure</w:t>
            </w:r>
          </w:p>
        </w:tc>
        <w:tc>
          <w:tcPr>
            <w:tcW w:w="1000" w:type="pct"/>
            <w:tcBorders>
              <w:top w:val="single" w:sz="4" w:space="0" w:color="auto"/>
              <w:left w:val="nil"/>
              <w:bottom w:val="single" w:sz="4" w:space="0" w:color="auto"/>
              <w:right w:val="nil"/>
            </w:tcBorders>
            <w:vAlign w:val="center"/>
          </w:tcPr>
          <w:p w:rsidR="00301A4A" w:rsidRPr="00C76328" w:rsidRDefault="00301A4A" w:rsidP="00704CC0">
            <w:pPr>
              <w:tabs>
                <w:tab w:val="left" w:pos="567"/>
                <w:tab w:val="left" w:pos="1134"/>
                <w:tab w:val="left" w:pos="1701"/>
                <w:tab w:val="left" w:pos="2268"/>
              </w:tabs>
              <w:autoSpaceDE w:val="0"/>
              <w:autoSpaceDN w:val="0"/>
              <w:adjustRightInd w:val="0"/>
              <w:jc w:val="right"/>
              <w:rPr>
                <w:rFonts w:cs="Arial"/>
                <w:bCs/>
                <w:color w:val="000000"/>
                <w:sz w:val="18"/>
                <w:szCs w:val="22"/>
              </w:rPr>
            </w:pPr>
            <w:r w:rsidRPr="00C76328">
              <w:rPr>
                <w:rFonts w:cs="Arial"/>
                <w:bCs/>
                <w:color w:val="000000"/>
                <w:sz w:val="18"/>
                <w:szCs w:val="22"/>
              </w:rPr>
              <w:t>13,261</w:t>
            </w:r>
          </w:p>
        </w:tc>
        <w:tc>
          <w:tcPr>
            <w:tcW w:w="1000" w:type="pct"/>
            <w:tcBorders>
              <w:top w:val="single" w:sz="4" w:space="0" w:color="auto"/>
              <w:left w:val="nil"/>
              <w:bottom w:val="single" w:sz="4" w:space="0" w:color="auto"/>
              <w:right w:val="nil"/>
            </w:tcBorders>
            <w:shd w:val="clear" w:color="auto" w:fill="auto"/>
            <w:noWrap/>
            <w:vAlign w:val="center"/>
          </w:tcPr>
          <w:p w:rsidR="00301A4A" w:rsidRPr="00C76328" w:rsidRDefault="00301A4A" w:rsidP="00704CC0">
            <w:pPr>
              <w:tabs>
                <w:tab w:val="left" w:pos="567"/>
                <w:tab w:val="left" w:pos="1134"/>
                <w:tab w:val="left" w:pos="1701"/>
                <w:tab w:val="left" w:pos="2268"/>
              </w:tabs>
              <w:autoSpaceDE w:val="0"/>
              <w:autoSpaceDN w:val="0"/>
              <w:adjustRightInd w:val="0"/>
              <w:jc w:val="right"/>
              <w:rPr>
                <w:rFonts w:eastAsia="Calibri" w:cs="Arial"/>
                <w:bCs/>
                <w:color w:val="000000"/>
                <w:sz w:val="18"/>
                <w:szCs w:val="22"/>
              </w:rPr>
            </w:pPr>
            <w:r w:rsidRPr="00C76328">
              <w:rPr>
                <w:rFonts w:eastAsia="Calibri" w:cs="Arial"/>
                <w:bCs/>
                <w:color w:val="000000"/>
                <w:sz w:val="18"/>
                <w:szCs w:val="22"/>
              </w:rPr>
              <w:t>1,570</w:t>
            </w:r>
          </w:p>
        </w:tc>
      </w:tr>
    </w:tbl>
    <w:p w:rsidR="0092140F" w:rsidRPr="00A76890" w:rsidRDefault="0092140F" w:rsidP="00704CC0">
      <w:pPr>
        <w:pStyle w:val="Normal3-Sub-para"/>
        <w:keepNext/>
        <w:keepLines/>
        <w:spacing w:after="60" w:line="240" w:lineRule="auto"/>
        <w:ind w:left="567"/>
      </w:pPr>
      <w:r w:rsidRPr="00A76890">
        <w:t>As at 31 August 201</w:t>
      </w:r>
      <w:r w:rsidR="00301A4A" w:rsidRPr="00A76890">
        <w:t>3</w:t>
      </w:r>
      <w:r w:rsidRPr="00A76890">
        <w:t xml:space="preserve">, </w:t>
      </w:r>
      <w:r w:rsidR="001B04C8" w:rsidRPr="00A76890">
        <w:t>if INR</w:t>
      </w:r>
      <w:r w:rsidRPr="00A76890">
        <w:t xml:space="preserve"> or USD had weakened by 1% (31 August 201</w:t>
      </w:r>
      <w:r w:rsidR="00301A4A" w:rsidRPr="00A76890">
        <w:t>2</w:t>
      </w:r>
      <w:r w:rsidRPr="00A76890">
        <w:t>: 1%) against GBP with all other variables held constant, the loss for the year would have been higher and equity would have been lower as follows:</w:t>
      </w:r>
    </w:p>
    <w:tbl>
      <w:tblPr>
        <w:tblW w:w="8953" w:type="dxa"/>
        <w:tblLayout w:type="fixed"/>
        <w:tblCellMar>
          <w:top w:w="28" w:type="dxa"/>
          <w:left w:w="57" w:type="dxa"/>
          <w:bottom w:w="28" w:type="dxa"/>
          <w:right w:w="57" w:type="dxa"/>
        </w:tblCellMar>
        <w:tblLook w:val="04A0"/>
      </w:tblPr>
      <w:tblGrid>
        <w:gridCol w:w="3613"/>
        <w:gridCol w:w="1780"/>
        <w:gridCol w:w="1780"/>
        <w:gridCol w:w="1780"/>
      </w:tblGrid>
      <w:tr w:rsidR="0092140F" w:rsidRPr="00A76890" w:rsidTr="00562F9C">
        <w:trPr>
          <w:trHeight w:val="135"/>
          <w:tblHeader/>
        </w:trPr>
        <w:tc>
          <w:tcPr>
            <w:tcW w:w="2017" w:type="pct"/>
            <w:tcBorders>
              <w:left w:val="nil"/>
              <w:right w:val="nil"/>
            </w:tcBorders>
            <w:shd w:val="clear" w:color="auto" w:fill="auto"/>
            <w:vAlign w:val="center"/>
          </w:tcPr>
          <w:p w:rsidR="0092140F" w:rsidRPr="00883213" w:rsidRDefault="0092140F" w:rsidP="00704CC0">
            <w:pPr>
              <w:keepNext/>
              <w:keepLines/>
              <w:tabs>
                <w:tab w:val="left" w:pos="567"/>
                <w:tab w:val="left" w:pos="1134"/>
                <w:tab w:val="left" w:pos="1701"/>
                <w:tab w:val="left" w:pos="2268"/>
              </w:tabs>
              <w:ind w:left="567"/>
              <w:rPr>
                <w:rFonts w:cs="Arial"/>
                <w:b/>
                <w:sz w:val="18"/>
                <w:szCs w:val="18"/>
              </w:rPr>
            </w:pPr>
          </w:p>
        </w:tc>
        <w:tc>
          <w:tcPr>
            <w:tcW w:w="994" w:type="pct"/>
            <w:tcBorders>
              <w:left w:val="nil"/>
              <w:right w:val="nil"/>
            </w:tcBorders>
            <w:shd w:val="clear" w:color="auto" w:fill="auto"/>
          </w:tcPr>
          <w:p w:rsidR="0092140F" w:rsidRPr="00883213" w:rsidRDefault="0092140F" w:rsidP="00704CC0">
            <w:pPr>
              <w:keepNext/>
              <w:keepLines/>
              <w:tabs>
                <w:tab w:val="left" w:pos="567"/>
                <w:tab w:val="left" w:pos="1134"/>
                <w:tab w:val="left" w:pos="1701"/>
                <w:tab w:val="left" w:pos="2268"/>
              </w:tabs>
              <w:jc w:val="right"/>
              <w:rPr>
                <w:rFonts w:cs="Arial"/>
                <w:b/>
                <w:bCs/>
                <w:sz w:val="18"/>
                <w:szCs w:val="18"/>
              </w:rPr>
            </w:pPr>
            <w:r w:rsidRPr="00883213">
              <w:rPr>
                <w:rFonts w:cs="Arial"/>
                <w:b/>
                <w:bCs/>
                <w:sz w:val="18"/>
                <w:szCs w:val="18"/>
              </w:rPr>
              <w:t>£'000</w:t>
            </w:r>
          </w:p>
        </w:tc>
        <w:tc>
          <w:tcPr>
            <w:tcW w:w="994" w:type="pct"/>
            <w:tcBorders>
              <w:left w:val="nil"/>
              <w:right w:val="nil"/>
            </w:tcBorders>
            <w:shd w:val="clear" w:color="auto" w:fill="auto"/>
          </w:tcPr>
          <w:p w:rsidR="0092140F" w:rsidRPr="00883213" w:rsidRDefault="0092140F" w:rsidP="00704CC0">
            <w:pPr>
              <w:keepNext/>
              <w:keepLines/>
              <w:tabs>
                <w:tab w:val="left" w:pos="567"/>
                <w:tab w:val="left" w:pos="1134"/>
                <w:tab w:val="left" w:pos="1701"/>
                <w:tab w:val="left" w:pos="2268"/>
              </w:tabs>
              <w:jc w:val="right"/>
              <w:rPr>
                <w:rFonts w:cs="Arial"/>
                <w:b/>
                <w:bCs/>
                <w:sz w:val="18"/>
                <w:szCs w:val="18"/>
              </w:rPr>
            </w:pPr>
            <w:r w:rsidRPr="00883213">
              <w:rPr>
                <w:rFonts w:cs="Arial"/>
                <w:b/>
                <w:bCs/>
                <w:sz w:val="18"/>
                <w:szCs w:val="18"/>
              </w:rPr>
              <w:t>£'000</w:t>
            </w:r>
          </w:p>
        </w:tc>
        <w:tc>
          <w:tcPr>
            <w:tcW w:w="994" w:type="pct"/>
            <w:tcBorders>
              <w:left w:val="nil"/>
              <w:right w:val="nil"/>
            </w:tcBorders>
            <w:shd w:val="clear" w:color="auto" w:fill="auto"/>
            <w:noWrap/>
          </w:tcPr>
          <w:p w:rsidR="0092140F" w:rsidRPr="00883213" w:rsidRDefault="0092140F" w:rsidP="00704CC0">
            <w:pPr>
              <w:keepNext/>
              <w:keepLines/>
              <w:tabs>
                <w:tab w:val="left" w:pos="567"/>
                <w:tab w:val="left" w:pos="1134"/>
                <w:tab w:val="left" w:pos="1701"/>
                <w:tab w:val="left" w:pos="2268"/>
              </w:tabs>
              <w:jc w:val="right"/>
              <w:rPr>
                <w:rFonts w:cs="Arial"/>
                <w:b/>
                <w:bCs/>
                <w:sz w:val="18"/>
                <w:szCs w:val="18"/>
              </w:rPr>
            </w:pPr>
            <w:r w:rsidRPr="00883213">
              <w:rPr>
                <w:rFonts w:cs="Arial"/>
                <w:b/>
                <w:bCs/>
                <w:sz w:val="18"/>
                <w:szCs w:val="18"/>
              </w:rPr>
              <w:t>£'000</w:t>
            </w:r>
          </w:p>
        </w:tc>
      </w:tr>
      <w:tr w:rsidR="0092140F" w:rsidRPr="00A76890" w:rsidTr="00562F9C">
        <w:trPr>
          <w:trHeight w:val="225"/>
          <w:tblHeader/>
        </w:trPr>
        <w:tc>
          <w:tcPr>
            <w:tcW w:w="2017" w:type="pct"/>
            <w:tcBorders>
              <w:left w:val="nil"/>
              <w:right w:val="nil"/>
            </w:tcBorders>
            <w:shd w:val="clear" w:color="auto" w:fill="auto"/>
            <w:vAlign w:val="center"/>
          </w:tcPr>
          <w:p w:rsidR="0092140F" w:rsidRPr="00883213" w:rsidRDefault="0092140F" w:rsidP="00704CC0">
            <w:pPr>
              <w:keepNext/>
              <w:keepLines/>
              <w:tabs>
                <w:tab w:val="left" w:pos="567"/>
                <w:tab w:val="left" w:pos="1134"/>
                <w:tab w:val="left" w:pos="1701"/>
                <w:tab w:val="left" w:pos="2268"/>
              </w:tabs>
              <w:ind w:left="567"/>
              <w:rPr>
                <w:rFonts w:cs="Arial"/>
                <w:sz w:val="18"/>
                <w:szCs w:val="18"/>
              </w:rPr>
            </w:pPr>
            <w:r w:rsidRPr="00883213">
              <w:rPr>
                <w:rFonts w:cs="Arial"/>
                <w:b/>
                <w:sz w:val="18"/>
                <w:szCs w:val="18"/>
              </w:rPr>
              <w:t>Functional currency</w:t>
            </w:r>
          </w:p>
        </w:tc>
        <w:tc>
          <w:tcPr>
            <w:tcW w:w="994" w:type="pct"/>
            <w:tcBorders>
              <w:left w:val="nil"/>
              <w:right w:val="nil"/>
            </w:tcBorders>
            <w:shd w:val="clear" w:color="auto" w:fill="auto"/>
          </w:tcPr>
          <w:p w:rsidR="0092140F" w:rsidRPr="00883213" w:rsidRDefault="0092140F" w:rsidP="00704CC0">
            <w:pPr>
              <w:keepNext/>
              <w:keepLines/>
              <w:tabs>
                <w:tab w:val="left" w:pos="567"/>
                <w:tab w:val="left" w:pos="1134"/>
                <w:tab w:val="left" w:pos="1701"/>
                <w:tab w:val="left" w:pos="2268"/>
              </w:tabs>
              <w:jc w:val="right"/>
              <w:rPr>
                <w:rFonts w:cs="Arial"/>
                <w:b/>
                <w:bCs/>
                <w:sz w:val="18"/>
                <w:szCs w:val="18"/>
              </w:rPr>
            </w:pPr>
            <w:r w:rsidRPr="00883213">
              <w:rPr>
                <w:rFonts w:cs="Arial"/>
                <w:b/>
                <w:bCs/>
                <w:sz w:val="18"/>
                <w:szCs w:val="18"/>
              </w:rPr>
              <w:t>GBP</w:t>
            </w:r>
          </w:p>
        </w:tc>
        <w:tc>
          <w:tcPr>
            <w:tcW w:w="994" w:type="pct"/>
            <w:tcBorders>
              <w:left w:val="nil"/>
              <w:right w:val="nil"/>
            </w:tcBorders>
            <w:shd w:val="clear" w:color="auto" w:fill="auto"/>
          </w:tcPr>
          <w:p w:rsidR="0092140F" w:rsidRPr="00883213" w:rsidRDefault="0092140F" w:rsidP="00704CC0">
            <w:pPr>
              <w:keepNext/>
              <w:keepLines/>
              <w:tabs>
                <w:tab w:val="left" w:pos="567"/>
                <w:tab w:val="left" w:pos="1134"/>
                <w:tab w:val="left" w:pos="1701"/>
                <w:tab w:val="left" w:pos="2268"/>
              </w:tabs>
              <w:jc w:val="right"/>
              <w:rPr>
                <w:rFonts w:cs="Arial"/>
                <w:b/>
                <w:bCs/>
                <w:sz w:val="18"/>
                <w:szCs w:val="18"/>
              </w:rPr>
            </w:pPr>
            <w:r w:rsidRPr="00883213">
              <w:rPr>
                <w:rFonts w:cs="Arial"/>
                <w:b/>
                <w:bCs/>
                <w:sz w:val="18"/>
                <w:szCs w:val="18"/>
              </w:rPr>
              <w:t>GBP</w:t>
            </w:r>
          </w:p>
        </w:tc>
        <w:tc>
          <w:tcPr>
            <w:tcW w:w="994" w:type="pct"/>
            <w:tcBorders>
              <w:left w:val="nil"/>
              <w:right w:val="nil"/>
            </w:tcBorders>
            <w:shd w:val="clear" w:color="auto" w:fill="auto"/>
            <w:noWrap/>
          </w:tcPr>
          <w:p w:rsidR="0092140F" w:rsidRPr="00883213" w:rsidRDefault="0092140F" w:rsidP="00704CC0">
            <w:pPr>
              <w:keepNext/>
              <w:keepLines/>
              <w:tabs>
                <w:tab w:val="left" w:pos="567"/>
                <w:tab w:val="left" w:pos="1134"/>
                <w:tab w:val="left" w:pos="1701"/>
                <w:tab w:val="left" w:pos="2268"/>
              </w:tabs>
              <w:jc w:val="right"/>
              <w:rPr>
                <w:rFonts w:cs="Arial"/>
                <w:b/>
                <w:bCs/>
                <w:sz w:val="18"/>
                <w:szCs w:val="18"/>
              </w:rPr>
            </w:pPr>
            <w:r w:rsidRPr="00883213">
              <w:rPr>
                <w:rFonts w:cs="Arial"/>
                <w:b/>
                <w:bCs/>
                <w:sz w:val="18"/>
                <w:szCs w:val="18"/>
              </w:rPr>
              <w:t>Total</w:t>
            </w:r>
          </w:p>
        </w:tc>
      </w:tr>
      <w:tr w:rsidR="0092140F" w:rsidRPr="00A76890" w:rsidTr="00562F9C">
        <w:trPr>
          <w:trHeight w:val="135"/>
          <w:tblHeader/>
        </w:trPr>
        <w:tc>
          <w:tcPr>
            <w:tcW w:w="2017" w:type="pct"/>
            <w:tcBorders>
              <w:left w:val="nil"/>
              <w:right w:val="nil"/>
            </w:tcBorders>
            <w:shd w:val="clear" w:color="auto" w:fill="auto"/>
            <w:vAlign w:val="center"/>
          </w:tcPr>
          <w:p w:rsidR="0092140F" w:rsidRPr="00883213" w:rsidRDefault="0092140F" w:rsidP="00704CC0">
            <w:pPr>
              <w:keepNext/>
              <w:keepLines/>
              <w:tabs>
                <w:tab w:val="left" w:pos="567"/>
                <w:tab w:val="left" w:pos="1134"/>
                <w:tab w:val="left" w:pos="1701"/>
                <w:tab w:val="left" w:pos="2268"/>
              </w:tabs>
              <w:ind w:left="567"/>
              <w:rPr>
                <w:rFonts w:cs="Arial"/>
                <w:sz w:val="18"/>
                <w:szCs w:val="18"/>
              </w:rPr>
            </w:pPr>
            <w:r w:rsidRPr="00883213">
              <w:rPr>
                <w:rFonts w:cs="Arial"/>
                <w:b/>
                <w:sz w:val="18"/>
                <w:szCs w:val="18"/>
              </w:rPr>
              <w:t>Foreign currency</w:t>
            </w:r>
          </w:p>
        </w:tc>
        <w:tc>
          <w:tcPr>
            <w:tcW w:w="994" w:type="pct"/>
            <w:tcBorders>
              <w:left w:val="nil"/>
              <w:right w:val="nil"/>
            </w:tcBorders>
            <w:shd w:val="clear" w:color="auto" w:fill="auto"/>
          </w:tcPr>
          <w:p w:rsidR="0092140F" w:rsidRPr="00883213" w:rsidRDefault="0092140F" w:rsidP="00704CC0">
            <w:pPr>
              <w:keepNext/>
              <w:keepLines/>
              <w:tabs>
                <w:tab w:val="left" w:pos="567"/>
                <w:tab w:val="left" w:pos="1134"/>
                <w:tab w:val="left" w:pos="1701"/>
                <w:tab w:val="left" w:pos="2268"/>
              </w:tabs>
              <w:jc w:val="right"/>
              <w:rPr>
                <w:rFonts w:cs="Arial"/>
                <w:b/>
                <w:bCs/>
                <w:sz w:val="18"/>
                <w:szCs w:val="18"/>
              </w:rPr>
            </w:pPr>
            <w:r w:rsidRPr="00883213">
              <w:rPr>
                <w:rFonts w:cs="Arial"/>
                <w:b/>
                <w:bCs/>
                <w:sz w:val="18"/>
                <w:szCs w:val="18"/>
              </w:rPr>
              <w:t>INR</w:t>
            </w:r>
          </w:p>
        </w:tc>
        <w:tc>
          <w:tcPr>
            <w:tcW w:w="994" w:type="pct"/>
            <w:tcBorders>
              <w:left w:val="nil"/>
              <w:right w:val="nil"/>
            </w:tcBorders>
            <w:shd w:val="clear" w:color="auto" w:fill="auto"/>
          </w:tcPr>
          <w:p w:rsidR="0092140F" w:rsidRPr="00883213" w:rsidRDefault="0092140F" w:rsidP="00704CC0">
            <w:pPr>
              <w:keepNext/>
              <w:keepLines/>
              <w:tabs>
                <w:tab w:val="left" w:pos="567"/>
                <w:tab w:val="left" w:pos="1134"/>
                <w:tab w:val="left" w:pos="1701"/>
                <w:tab w:val="left" w:pos="2268"/>
              </w:tabs>
              <w:jc w:val="right"/>
              <w:rPr>
                <w:rFonts w:cs="Arial"/>
                <w:b/>
                <w:bCs/>
                <w:sz w:val="18"/>
                <w:szCs w:val="18"/>
              </w:rPr>
            </w:pPr>
            <w:r w:rsidRPr="00883213">
              <w:rPr>
                <w:rFonts w:cs="Arial"/>
                <w:b/>
                <w:bCs/>
                <w:sz w:val="18"/>
                <w:szCs w:val="18"/>
              </w:rPr>
              <w:t>USD</w:t>
            </w:r>
          </w:p>
        </w:tc>
        <w:tc>
          <w:tcPr>
            <w:tcW w:w="994" w:type="pct"/>
            <w:tcBorders>
              <w:left w:val="nil"/>
              <w:right w:val="nil"/>
            </w:tcBorders>
            <w:shd w:val="clear" w:color="auto" w:fill="auto"/>
            <w:noWrap/>
          </w:tcPr>
          <w:p w:rsidR="0092140F" w:rsidRPr="00883213" w:rsidRDefault="0092140F" w:rsidP="00704CC0">
            <w:pPr>
              <w:keepNext/>
              <w:keepLines/>
              <w:tabs>
                <w:tab w:val="left" w:pos="567"/>
                <w:tab w:val="left" w:pos="1134"/>
                <w:tab w:val="left" w:pos="1701"/>
                <w:tab w:val="left" w:pos="2268"/>
              </w:tabs>
              <w:jc w:val="right"/>
              <w:rPr>
                <w:rFonts w:cs="Arial"/>
                <w:b/>
                <w:bCs/>
                <w:sz w:val="18"/>
                <w:szCs w:val="18"/>
              </w:rPr>
            </w:pPr>
          </w:p>
        </w:tc>
      </w:tr>
      <w:tr w:rsidR="0092140F" w:rsidRPr="00A76890" w:rsidTr="00562F9C">
        <w:trPr>
          <w:trHeight w:val="225"/>
        </w:trPr>
        <w:tc>
          <w:tcPr>
            <w:tcW w:w="2017" w:type="pct"/>
            <w:tcBorders>
              <w:left w:val="nil"/>
              <w:right w:val="nil"/>
            </w:tcBorders>
            <w:shd w:val="clear" w:color="auto" w:fill="auto"/>
            <w:noWrap/>
            <w:vAlign w:val="center"/>
          </w:tcPr>
          <w:p w:rsidR="0092140F" w:rsidRPr="00883213" w:rsidRDefault="0092140F" w:rsidP="00704CC0">
            <w:pPr>
              <w:keepNext/>
              <w:keepLines/>
              <w:tabs>
                <w:tab w:val="left" w:pos="567"/>
                <w:tab w:val="left" w:pos="1134"/>
                <w:tab w:val="left" w:pos="1701"/>
                <w:tab w:val="left" w:pos="2268"/>
              </w:tabs>
              <w:ind w:left="567"/>
              <w:rPr>
                <w:rFonts w:cs="Arial"/>
                <w:b/>
                <w:bCs/>
                <w:sz w:val="18"/>
                <w:szCs w:val="18"/>
              </w:rPr>
            </w:pPr>
            <w:r w:rsidRPr="00883213">
              <w:rPr>
                <w:rFonts w:cs="Arial"/>
                <w:b/>
                <w:bCs/>
                <w:sz w:val="18"/>
                <w:szCs w:val="18"/>
              </w:rPr>
              <w:t>31 August 201</w:t>
            </w:r>
            <w:r w:rsidR="00301A4A" w:rsidRPr="00883213">
              <w:rPr>
                <w:rFonts w:cs="Arial"/>
                <w:b/>
                <w:bCs/>
                <w:sz w:val="18"/>
                <w:szCs w:val="18"/>
              </w:rPr>
              <w:t>3</w:t>
            </w:r>
          </w:p>
        </w:tc>
        <w:tc>
          <w:tcPr>
            <w:tcW w:w="994" w:type="pct"/>
            <w:tcBorders>
              <w:left w:val="nil"/>
              <w:bottom w:val="nil"/>
              <w:right w:val="nil"/>
            </w:tcBorders>
            <w:shd w:val="clear" w:color="auto" w:fill="auto"/>
            <w:noWrap/>
            <w:vAlign w:val="center"/>
          </w:tcPr>
          <w:p w:rsidR="0092140F" w:rsidRPr="00883213" w:rsidRDefault="00AA0B0C" w:rsidP="00704CC0">
            <w:pPr>
              <w:keepNext/>
              <w:keepLines/>
              <w:tabs>
                <w:tab w:val="left" w:pos="567"/>
                <w:tab w:val="left" w:pos="1134"/>
                <w:tab w:val="left" w:pos="1701"/>
                <w:tab w:val="left" w:pos="2268"/>
              </w:tabs>
              <w:autoSpaceDE w:val="0"/>
              <w:autoSpaceDN w:val="0"/>
              <w:adjustRightInd w:val="0"/>
              <w:jc w:val="right"/>
              <w:rPr>
                <w:rFonts w:eastAsia="Calibri" w:cs="Arial"/>
                <w:b/>
                <w:color w:val="000000"/>
                <w:sz w:val="18"/>
                <w:szCs w:val="18"/>
              </w:rPr>
            </w:pPr>
            <w:r w:rsidRPr="00883213">
              <w:rPr>
                <w:rFonts w:eastAsia="Calibri" w:cs="Arial"/>
                <w:b/>
                <w:color w:val="000000"/>
                <w:sz w:val="18"/>
                <w:szCs w:val="18"/>
              </w:rPr>
              <w:t>62</w:t>
            </w:r>
          </w:p>
        </w:tc>
        <w:tc>
          <w:tcPr>
            <w:tcW w:w="994" w:type="pct"/>
            <w:tcBorders>
              <w:left w:val="nil"/>
              <w:bottom w:val="nil"/>
              <w:right w:val="nil"/>
            </w:tcBorders>
            <w:shd w:val="clear" w:color="auto" w:fill="auto"/>
            <w:noWrap/>
            <w:vAlign w:val="center"/>
          </w:tcPr>
          <w:p w:rsidR="0092140F" w:rsidRPr="00883213" w:rsidRDefault="00AA0B0C" w:rsidP="00704CC0">
            <w:pPr>
              <w:keepNext/>
              <w:keepLines/>
              <w:tabs>
                <w:tab w:val="left" w:pos="567"/>
                <w:tab w:val="left" w:pos="1134"/>
                <w:tab w:val="left" w:pos="1701"/>
                <w:tab w:val="left" w:pos="2268"/>
              </w:tabs>
              <w:autoSpaceDE w:val="0"/>
              <w:autoSpaceDN w:val="0"/>
              <w:adjustRightInd w:val="0"/>
              <w:jc w:val="right"/>
              <w:rPr>
                <w:rFonts w:eastAsia="Calibri" w:cs="Arial"/>
                <w:b/>
                <w:color w:val="000000"/>
                <w:sz w:val="18"/>
                <w:szCs w:val="18"/>
              </w:rPr>
            </w:pPr>
            <w:r w:rsidRPr="00883213">
              <w:rPr>
                <w:rFonts w:eastAsia="Calibri" w:cs="Arial"/>
                <w:b/>
                <w:color w:val="000000"/>
                <w:sz w:val="18"/>
                <w:szCs w:val="18"/>
              </w:rPr>
              <w:t>6</w:t>
            </w:r>
          </w:p>
        </w:tc>
        <w:tc>
          <w:tcPr>
            <w:tcW w:w="994" w:type="pct"/>
            <w:tcBorders>
              <w:left w:val="nil"/>
              <w:bottom w:val="nil"/>
              <w:right w:val="nil"/>
            </w:tcBorders>
            <w:shd w:val="clear" w:color="auto" w:fill="auto"/>
            <w:noWrap/>
            <w:vAlign w:val="center"/>
          </w:tcPr>
          <w:p w:rsidR="0092140F" w:rsidRPr="00883213" w:rsidRDefault="00AA0B0C" w:rsidP="00704CC0">
            <w:pPr>
              <w:keepNext/>
              <w:keepLines/>
              <w:tabs>
                <w:tab w:val="left" w:pos="567"/>
                <w:tab w:val="left" w:pos="1134"/>
                <w:tab w:val="left" w:pos="1701"/>
                <w:tab w:val="left" w:pos="2268"/>
              </w:tabs>
              <w:autoSpaceDE w:val="0"/>
              <w:autoSpaceDN w:val="0"/>
              <w:adjustRightInd w:val="0"/>
              <w:jc w:val="right"/>
              <w:rPr>
                <w:rFonts w:eastAsia="Calibri" w:cs="Arial"/>
                <w:b/>
                <w:color w:val="000000"/>
                <w:sz w:val="18"/>
                <w:szCs w:val="18"/>
              </w:rPr>
            </w:pPr>
            <w:r w:rsidRPr="00883213">
              <w:rPr>
                <w:rFonts w:eastAsia="Calibri" w:cs="Arial"/>
                <w:b/>
                <w:color w:val="000000"/>
                <w:sz w:val="18"/>
                <w:szCs w:val="18"/>
              </w:rPr>
              <w:t>68</w:t>
            </w:r>
          </w:p>
        </w:tc>
      </w:tr>
      <w:tr w:rsidR="00301A4A" w:rsidRPr="00A76890" w:rsidTr="00562F9C">
        <w:trPr>
          <w:trHeight w:val="225"/>
        </w:trPr>
        <w:tc>
          <w:tcPr>
            <w:tcW w:w="2017" w:type="pct"/>
            <w:tcBorders>
              <w:top w:val="nil"/>
              <w:left w:val="nil"/>
              <w:right w:val="nil"/>
            </w:tcBorders>
            <w:shd w:val="clear" w:color="auto" w:fill="auto"/>
            <w:vAlign w:val="center"/>
          </w:tcPr>
          <w:p w:rsidR="00301A4A" w:rsidRPr="00883213" w:rsidRDefault="00301A4A" w:rsidP="00704CC0">
            <w:pPr>
              <w:tabs>
                <w:tab w:val="left" w:pos="567"/>
                <w:tab w:val="left" w:pos="1134"/>
                <w:tab w:val="left" w:pos="1701"/>
                <w:tab w:val="left" w:pos="2268"/>
              </w:tabs>
              <w:ind w:left="567"/>
              <w:rPr>
                <w:rFonts w:cs="Arial"/>
                <w:b/>
                <w:bCs/>
                <w:sz w:val="18"/>
                <w:szCs w:val="18"/>
              </w:rPr>
            </w:pPr>
            <w:r w:rsidRPr="00883213">
              <w:rPr>
                <w:rFonts w:cs="Arial"/>
                <w:b/>
                <w:bCs/>
                <w:sz w:val="18"/>
                <w:szCs w:val="18"/>
              </w:rPr>
              <w:t>31 August 2012</w:t>
            </w:r>
          </w:p>
        </w:tc>
        <w:tc>
          <w:tcPr>
            <w:tcW w:w="994" w:type="pct"/>
            <w:tcBorders>
              <w:top w:val="nil"/>
              <w:left w:val="nil"/>
              <w:bottom w:val="single" w:sz="8" w:space="0" w:color="auto"/>
              <w:right w:val="nil"/>
            </w:tcBorders>
            <w:shd w:val="clear" w:color="auto" w:fill="auto"/>
            <w:vAlign w:val="center"/>
          </w:tcPr>
          <w:p w:rsidR="00301A4A" w:rsidRPr="00883213" w:rsidRDefault="00301A4A" w:rsidP="00704CC0">
            <w:pPr>
              <w:tabs>
                <w:tab w:val="left" w:pos="567"/>
                <w:tab w:val="left" w:pos="1134"/>
                <w:tab w:val="left" w:pos="1701"/>
                <w:tab w:val="left" w:pos="2268"/>
              </w:tabs>
              <w:autoSpaceDE w:val="0"/>
              <w:autoSpaceDN w:val="0"/>
              <w:adjustRightInd w:val="0"/>
              <w:jc w:val="right"/>
              <w:rPr>
                <w:rFonts w:eastAsia="Calibri" w:cs="Arial"/>
                <w:color w:val="000000"/>
                <w:sz w:val="18"/>
                <w:szCs w:val="18"/>
              </w:rPr>
            </w:pPr>
            <w:r w:rsidRPr="00883213">
              <w:rPr>
                <w:rFonts w:eastAsia="Calibri" w:cs="Arial"/>
                <w:color w:val="000000"/>
                <w:sz w:val="18"/>
                <w:szCs w:val="18"/>
              </w:rPr>
              <w:t>133</w:t>
            </w:r>
          </w:p>
        </w:tc>
        <w:tc>
          <w:tcPr>
            <w:tcW w:w="994" w:type="pct"/>
            <w:tcBorders>
              <w:top w:val="nil"/>
              <w:left w:val="nil"/>
              <w:bottom w:val="single" w:sz="8" w:space="0" w:color="auto"/>
              <w:right w:val="nil"/>
            </w:tcBorders>
            <w:shd w:val="clear" w:color="auto" w:fill="auto"/>
            <w:vAlign w:val="center"/>
          </w:tcPr>
          <w:p w:rsidR="00301A4A" w:rsidRPr="00883213" w:rsidRDefault="00301A4A" w:rsidP="00704CC0">
            <w:pPr>
              <w:tabs>
                <w:tab w:val="left" w:pos="567"/>
                <w:tab w:val="left" w:pos="1134"/>
                <w:tab w:val="left" w:pos="1701"/>
                <w:tab w:val="left" w:pos="2268"/>
              </w:tabs>
              <w:autoSpaceDE w:val="0"/>
              <w:autoSpaceDN w:val="0"/>
              <w:adjustRightInd w:val="0"/>
              <w:jc w:val="right"/>
              <w:rPr>
                <w:rFonts w:eastAsia="Calibri" w:cs="Arial"/>
                <w:color w:val="000000"/>
                <w:sz w:val="18"/>
                <w:szCs w:val="18"/>
              </w:rPr>
            </w:pPr>
            <w:r w:rsidRPr="00883213">
              <w:rPr>
                <w:rFonts w:eastAsia="Calibri" w:cs="Arial"/>
                <w:color w:val="000000"/>
                <w:sz w:val="18"/>
                <w:szCs w:val="18"/>
              </w:rPr>
              <w:t>16</w:t>
            </w:r>
          </w:p>
        </w:tc>
        <w:tc>
          <w:tcPr>
            <w:tcW w:w="994" w:type="pct"/>
            <w:tcBorders>
              <w:top w:val="nil"/>
              <w:left w:val="nil"/>
              <w:bottom w:val="single" w:sz="8" w:space="0" w:color="auto"/>
              <w:right w:val="nil"/>
            </w:tcBorders>
            <w:shd w:val="clear" w:color="auto" w:fill="auto"/>
            <w:vAlign w:val="center"/>
          </w:tcPr>
          <w:p w:rsidR="00301A4A" w:rsidRPr="00883213" w:rsidRDefault="00301A4A" w:rsidP="00704CC0">
            <w:pPr>
              <w:tabs>
                <w:tab w:val="left" w:pos="567"/>
                <w:tab w:val="left" w:pos="1134"/>
                <w:tab w:val="left" w:pos="1701"/>
                <w:tab w:val="left" w:pos="2268"/>
              </w:tabs>
              <w:autoSpaceDE w:val="0"/>
              <w:autoSpaceDN w:val="0"/>
              <w:adjustRightInd w:val="0"/>
              <w:jc w:val="right"/>
              <w:rPr>
                <w:rFonts w:eastAsia="Calibri" w:cs="Arial"/>
                <w:color w:val="000000"/>
                <w:sz w:val="18"/>
                <w:szCs w:val="18"/>
              </w:rPr>
            </w:pPr>
            <w:r w:rsidRPr="00883213">
              <w:rPr>
                <w:rFonts w:eastAsia="Calibri" w:cs="Arial"/>
                <w:color w:val="000000"/>
                <w:sz w:val="18"/>
                <w:szCs w:val="18"/>
              </w:rPr>
              <w:t>149</w:t>
            </w:r>
          </w:p>
        </w:tc>
      </w:tr>
    </w:tbl>
    <w:p w:rsidR="0092140F" w:rsidRPr="00A76890" w:rsidRDefault="0092140F" w:rsidP="00704CC0">
      <w:pPr>
        <w:pStyle w:val="Normal3-Sub-para"/>
        <w:spacing w:line="240" w:lineRule="auto"/>
        <w:ind w:left="567"/>
      </w:pPr>
      <w:r w:rsidRPr="00A76890">
        <w:t xml:space="preserve">The volatility is mainly as a result of foreign exchange losses on translation of INR and USD denominated financial assets designated at fair value through profit or loss. </w:t>
      </w:r>
    </w:p>
    <w:p w:rsidR="0092140F" w:rsidRPr="00A76890" w:rsidRDefault="0092140F" w:rsidP="00704CC0">
      <w:pPr>
        <w:pStyle w:val="Normal3-Sub-para"/>
        <w:spacing w:line="240" w:lineRule="auto"/>
        <w:ind w:left="567"/>
      </w:pPr>
      <w:r w:rsidRPr="00A76890">
        <w:t>If the functional currency had strengthened with respect to the various foreign currencies, there would be an equal and opposite impact on loss and equity for each year.</w:t>
      </w:r>
    </w:p>
    <w:p w:rsidR="0092140F" w:rsidRPr="00A76890" w:rsidRDefault="0092140F" w:rsidP="00704CC0">
      <w:pPr>
        <w:pStyle w:val="Heading3-Sub-para"/>
        <w:ind w:left="567"/>
      </w:pPr>
      <w:r w:rsidRPr="00A76890">
        <w:t>Price risk</w:t>
      </w:r>
    </w:p>
    <w:p w:rsidR="002A30E5" w:rsidRPr="00A76890" w:rsidRDefault="0092140F" w:rsidP="00704CC0">
      <w:pPr>
        <w:pStyle w:val="Normal3-Sub-para"/>
        <w:spacing w:line="240" w:lineRule="auto"/>
        <w:ind w:left="567"/>
      </w:pPr>
      <w:r w:rsidRPr="00A76890">
        <w:t>Price risk is a risk that the value of an instrument will fluctuate as a result of changes in market prices, whether caused by factors specific to an individual investment, its issuer or factors affecting all instruments traded in the market. As the majority of the Company’s financial instruments are carried at fair value with fair value changes recognised</w:t>
      </w:r>
      <w:r w:rsidR="0099000B" w:rsidRPr="00A76890">
        <w:t xml:space="preserve"> </w:t>
      </w:r>
      <w:r w:rsidR="004F0C62" w:rsidRPr="00A76890">
        <w:t>through the</w:t>
      </w:r>
      <w:r w:rsidRPr="00A76890">
        <w:t xml:space="preserve"> profit or loss</w:t>
      </w:r>
      <w:r w:rsidR="004F0C62" w:rsidRPr="00A76890">
        <w:t xml:space="preserve"> account</w:t>
      </w:r>
      <w:r w:rsidRPr="00A76890">
        <w:t>, all changes in the market conditions will directly affect net investment income.</w:t>
      </w:r>
    </w:p>
    <w:p w:rsidR="0092140F" w:rsidRPr="00A76890" w:rsidRDefault="0092140F" w:rsidP="00704CC0">
      <w:pPr>
        <w:pStyle w:val="Normal3-Sub-para"/>
        <w:spacing w:line="240" w:lineRule="auto"/>
        <w:ind w:left="567"/>
      </w:pPr>
      <w:r w:rsidRPr="00A76890">
        <w:t>Price risk is mitigated by constructing a diversified portfolio of instruments and direct involvement in the management of the investment portfolio. Further, the Company does not invest more than 25% of its net asset value in any single investment.</w:t>
      </w:r>
    </w:p>
    <w:p w:rsidR="0092140F" w:rsidRPr="00A76890" w:rsidRDefault="0009337D" w:rsidP="00704CC0">
      <w:pPr>
        <w:pStyle w:val="Normal3-Sub-para"/>
        <w:spacing w:line="240" w:lineRule="auto"/>
        <w:ind w:left="567"/>
      </w:pPr>
      <w:r w:rsidRPr="00A76890">
        <w:t>For the listed equity securities, the volatility figure of 1% is considered to be a suitable basis for estimating how profit or loss and equity would have been affected by changes in market risk that were reasonably possible at the reporting date. If the quoted stock price for these securities increased or decreased by the percentage of volatility, the investment value would have changed by GBP 19 thousand (31 August 2012: GBP 71 thousand).</w:t>
      </w:r>
      <w:r w:rsidR="00BF5A40" w:rsidRPr="00A76890">
        <w:t xml:space="preserve"> </w:t>
      </w:r>
      <w:r w:rsidRPr="00A76890">
        <w:t>The listed securities are classified as investments at fair value through profit or loss.</w:t>
      </w:r>
    </w:p>
    <w:p w:rsidR="002A30E5" w:rsidRPr="00A76890" w:rsidRDefault="0092140F" w:rsidP="00704CC0">
      <w:pPr>
        <w:pStyle w:val="Normal3-Sub-para"/>
        <w:spacing w:line="240" w:lineRule="auto"/>
        <w:ind w:left="567"/>
        <w:rPr>
          <w:highlight w:val="yellow"/>
        </w:rPr>
      </w:pPr>
      <w:r w:rsidRPr="00A76890">
        <w:t xml:space="preserve">The Group's sensitivity to price risk with regards to its investments in unlisted entities including, Global Cricket Ventures Limited (Mauritius), </w:t>
      </w:r>
      <w:proofErr w:type="spellStart"/>
      <w:r w:rsidRPr="00A76890">
        <w:t>Amar</w:t>
      </w:r>
      <w:proofErr w:type="spellEnd"/>
      <w:r w:rsidRPr="00A76890">
        <w:t xml:space="preserve"> </w:t>
      </w:r>
      <w:proofErr w:type="spellStart"/>
      <w:r w:rsidRPr="00A76890">
        <w:t>Chitra</w:t>
      </w:r>
      <w:proofErr w:type="spellEnd"/>
      <w:r w:rsidRPr="00A76890">
        <w:t xml:space="preserve"> </w:t>
      </w:r>
      <w:proofErr w:type="spellStart"/>
      <w:r w:rsidRPr="00A76890">
        <w:t>Katha</w:t>
      </w:r>
      <w:proofErr w:type="spellEnd"/>
      <w:r w:rsidRPr="00A76890">
        <w:t xml:space="preserve"> Private Limited and Air Works India (Engineering) Private Limited cannot be determined because </w:t>
      </w:r>
      <w:r w:rsidR="004F0C62" w:rsidRPr="00A76890">
        <w:t>the</w:t>
      </w:r>
      <w:r w:rsidRPr="00A76890">
        <w:t xml:space="preserve"> securities are not marketable. The fair values at the reporting date have been determined in accordance with the guidance provided in IPEVC guidelines and IAS 39 (refer to note 14).</w:t>
      </w:r>
    </w:p>
    <w:p w:rsidR="0092140F" w:rsidRPr="00A76890" w:rsidRDefault="0092140F" w:rsidP="00704CC0">
      <w:pPr>
        <w:pStyle w:val="Normal3-Sub-para"/>
        <w:spacing w:line="240" w:lineRule="auto"/>
        <w:ind w:left="567"/>
      </w:pPr>
      <w:r w:rsidRPr="00A76890">
        <w:t xml:space="preserve">In the Company statement of financial position, there are no financial assets whose value is dependent on movement in market prices and thus, no price risk is seen in the </w:t>
      </w:r>
      <w:r w:rsidR="0057656B" w:rsidRPr="00A76890">
        <w:t>Company’s financial</w:t>
      </w:r>
      <w:r w:rsidRPr="00A76890">
        <w:t xml:space="preserve"> statements.</w:t>
      </w:r>
    </w:p>
    <w:p w:rsidR="0092140F" w:rsidRPr="00A76890" w:rsidRDefault="0092140F" w:rsidP="00704CC0">
      <w:pPr>
        <w:pStyle w:val="Heading3-Sub-para"/>
        <w:ind w:left="567"/>
      </w:pPr>
      <w:r w:rsidRPr="00A76890">
        <w:t>Credit risk</w:t>
      </w:r>
    </w:p>
    <w:p w:rsidR="0092140F" w:rsidRPr="00A76890" w:rsidRDefault="0092140F" w:rsidP="00704CC0">
      <w:pPr>
        <w:pStyle w:val="Normal3-Sub-para"/>
        <w:spacing w:line="240" w:lineRule="auto"/>
        <w:ind w:left="567"/>
      </w:pPr>
      <w:r w:rsidRPr="00A76890">
        <w:t>Credit risk is the risk that the counterparty fails to discharge an obligation to the Group. The Group’s cash, cash equivalents and receivables are actively monitored to avoid significant concentrations of credit risk. The credit risk for cash and cash equivalents is considered negligible, since the Group transacts with reputable banks. The recoverability of debts from investee companies is monitored by Directors during Board meetings and by review of management accounts.</w:t>
      </w:r>
    </w:p>
    <w:p w:rsidR="002A30E5" w:rsidRPr="00A76890" w:rsidRDefault="0092140F" w:rsidP="00704CC0">
      <w:pPr>
        <w:pStyle w:val="Normal3-Sub-para"/>
        <w:spacing w:line="240" w:lineRule="auto"/>
        <w:ind w:left="567"/>
      </w:pPr>
      <w:r w:rsidRPr="00A76890">
        <w:t>There was a loan given by Elephant Capital plc to Elephant Capital LP, which was further given to Tusk Investments 1 Limited and Tusk Investments 2 Limited for investing in unlisted/listed entities. As of 31 August, 201</w:t>
      </w:r>
      <w:r w:rsidR="006C43FC" w:rsidRPr="00A76890">
        <w:t>3</w:t>
      </w:r>
      <w:r w:rsidRPr="00A76890">
        <w:t xml:space="preserve"> </w:t>
      </w:r>
      <w:r w:rsidR="002A30E5" w:rsidRPr="00A76890">
        <w:t>the</w:t>
      </w:r>
      <w:r w:rsidR="0070415A" w:rsidRPr="00A76890">
        <w:t xml:space="preserve"> </w:t>
      </w:r>
      <w:r w:rsidRPr="00A76890">
        <w:t>cumulative</w:t>
      </w:r>
      <w:r w:rsidR="004434B8" w:rsidRPr="00A76890">
        <w:t xml:space="preserve"> impair</w:t>
      </w:r>
      <w:r w:rsidRPr="00A76890">
        <w:t xml:space="preserve">ment of GBP </w:t>
      </w:r>
      <w:r w:rsidR="00E17A41" w:rsidRPr="00A76890">
        <w:t>1</w:t>
      </w:r>
      <w:r w:rsidR="00A7709F" w:rsidRPr="00A76890">
        <w:t>3</w:t>
      </w:r>
      <w:r w:rsidR="00E17A41" w:rsidRPr="00A76890">
        <w:t>,</w:t>
      </w:r>
      <w:r w:rsidR="00A7709F" w:rsidRPr="00A76890">
        <w:t>949</w:t>
      </w:r>
      <w:r w:rsidRPr="00A76890">
        <w:t xml:space="preserve"> thousand (31 August 201</w:t>
      </w:r>
      <w:r w:rsidR="006C43FC" w:rsidRPr="00A76890">
        <w:t>2</w:t>
      </w:r>
      <w:r w:rsidRPr="00A76890">
        <w:t>: GBP 11,</w:t>
      </w:r>
      <w:r w:rsidR="006C43FC" w:rsidRPr="00A76890">
        <w:t>232</w:t>
      </w:r>
      <w:r w:rsidRPr="00A76890">
        <w:t xml:space="preserve"> thousand) has been recorded </w:t>
      </w:r>
      <w:r w:rsidR="004F0C62" w:rsidRPr="00A76890">
        <w:t xml:space="preserve">as a consequence of </w:t>
      </w:r>
      <w:r w:rsidRPr="00A76890">
        <w:t xml:space="preserve">the </w:t>
      </w:r>
      <w:r w:rsidR="00742390" w:rsidRPr="00A76890">
        <w:t>decline</w:t>
      </w:r>
      <w:r w:rsidRPr="00A76890">
        <w:t xml:space="preserve"> in the value of investments made by the </w:t>
      </w:r>
      <w:r w:rsidR="004F0C62" w:rsidRPr="00A76890">
        <w:t>G</w:t>
      </w:r>
      <w:r w:rsidRPr="00A76890">
        <w:t xml:space="preserve">roup subsidiaries. Apart from this, the management considers the credit quality of all other financial assets to be good in the </w:t>
      </w:r>
      <w:r w:rsidR="00143744" w:rsidRPr="00A76890">
        <w:t>C</w:t>
      </w:r>
      <w:r w:rsidR="004F0C62" w:rsidRPr="00A76890">
        <w:t>ompany’s</w:t>
      </w:r>
      <w:r w:rsidRPr="00A76890">
        <w:t xml:space="preserve"> and consolidated financial statements and thus, these are not impaired.</w:t>
      </w:r>
    </w:p>
    <w:p w:rsidR="0092140F" w:rsidRPr="00A76890" w:rsidRDefault="0092140F" w:rsidP="00704CC0">
      <w:pPr>
        <w:pStyle w:val="Heading3-Sub-para"/>
        <w:ind w:left="567"/>
      </w:pPr>
      <w:r w:rsidRPr="00A76890">
        <w:t>Liquidity risk</w:t>
      </w:r>
    </w:p>
    <w:p w:rsidR="0092140F" w:rsidRPr="00A76890" w:rsidRDefault="0092140F" w:rsidP="00704CC0">
      <w:pPr>
        <w:pStyle w:val="Normal3-Sub-para"/>
        <w:spacing w:line="240" w:lineRule="auto"/>
        <w:ind w:left="567"/>
      </w:pPr>
      <w:r w:rsidRPr="00A76890">
        <w:t>Liquidity risk is the risk that the Group will not be able to meet its financial obligations as they fall due. The Group’s approach to managing liquidity risk is to ensure, as far as possible, that it will always have sufficient liquidity to meet its liabilities when due, under both normal and stressed conditions, without incurring unacceptable losses or risking damage to the Company’s reputation.</w:t>
      </w:r>
    </w:p>
    <w:p w:rsidR="0092140F" w:rsidRPr="00A76890" w:rsidRDefault="0092140F" w:rsidP="00704CC0">
      <w:pPr>
        <w:pStyle w:val="Normal3-Sub-para"/>
        <w:spacing w:line="240" w:lineRule="auto"/>
        <w:ind w:left="567"/>
      </w:pPr>
      <w:r w:rsidRPr="00A76890">
        <w:t>The responsibility for liquidity risk management rests with the Board of Directors who also monitor the short, medium and long-term funding and liquidity management requirements.</w:t>
      </w:r>
    </w:p>
    <w:p w:rsidR="001666B6" w:rsidRPr="00A76890" w:rsidRDefault="00D84B67" w:rsidP="00704CC0">
      <w:pPr>
        <w:pStyle w:val="Normal3-Sub-para"/>
        <w:spacing w:line="240" w:lineRule="auto"/>
        <w:ind w:left="567"/>
      </w:pPr>
      <w:r w:rsidRPr="00A76890">
        <w:t xml:space="preserve">As at the reporting date, the Group’s and Company’s liabilities having contractual maturities (including interest payments where applicable), represented by way of Trade and other payables, are GBP 123 thousand (31 August 2012: GBP 364 thousand) and GBP 77 thousand (31 August 2012: 77 thousand) respectively. These are </w:t>
      </w:r>
      <w:r w:rsidR="008D0E4E" w:rsidRPr="00A76890">
        <w:t>expected to be settled within one year.</w:t>
      </w:r>
    </w:p>
    <w:p w:rsidR="00863596" w:rsidRPr="00A77160" w:rsidRDefault="0092140F" w:rsidP="00704CC0">
      <w:pPr>
        <w:keepNext/>
        <w:keepLines/>
        <w:numPr>
          <w:ilvl w:val="0"/>
          <w:numId w:val="4"/>
        </w:numPr>
        <w:tabs>
          <w:tab w:val="clear" w:pos="810"/>
          <w:tab w:val="left" w:pos="567"/>
          <w:tab w:val="left" w:pos="1134"/>
          <w:tab w:val="left" w:pos="1701"/>
          <w:tab w:val="left" w:pos="2268"/>
        </w:tabs>
        <w:spacing w:before="240"/>
        <w:ind w:left="567" w:hanging="567"/>
        <w:rPr>
          <w:rFonts w:cs="Arial"/>
          <w:b/>
        </w:rPr>
      </w:pPr>
      <w:r w:rsidRPr="00A77160">
        <w:rPr>
          <w:rFonts w:cs="Arial"/>
          <w:b/>
        </w:rPr>
        <w:t>Levels of hierarchy</w:t>
      </w:r>
    </w:p>
    <w:p w:rsidR="0092140F" w:rsidRPr="00A76890" w:rsidRDefault="0092140F" w:rsidP="00704CC0">
      <w:pPr>
        <w:pStyle w:val="Normal2-Para"/>
        <w:spacing w:line="240" w:lineRule="auto"/>
        <w:ind w:left="567"/>
      </w:pPr>
      <w:r w:rsidRPr="00A76890">
        <w:t>In accordance with the disclosure requirements of IFRS 7, the following table presents financial assets and liabilities measured at fair value in the statement of financial position in accordance with the fair value hierarchy. This hierarchy groups financial assets and liabilities into three levels based on the significance of inputs used in measuring the fair value of the financial assets and liabilities. The fair value hierarchy has the following levels:</w:t>
      </w:r>
    </w:p>
    <w:p w:rsidR="0092140F" w:rsidRPr="00A76890" w:rsidRDefault="0092140F" w:rsidP="00704CC0">
      <w:pPr>
        <w:pStyle w:val="Bullet1"/>
        <w:numPr>
          <w:ilvl w:val="0"/>
          <w:numId w:val="18"/>
        </w:numPr>
        <w:tabs>
          <w:tab w:val="clear" w:pos="720"/>
          <w:tab w:val="left" w:pos="1134"/>
        </w:tabs>
        <w:spacing w:line="240" w:lineRule="auto"/>
        <w:ind w:left="1134" w:hanging="567"/>
      </w:pPr>
      <w:r w:rsidRPr="00A76890">
        <w:t>Level 1: quoted prices (unadjusted) in active markets for identical assets or liabilities</w:t>
      </w:r>
    </w:p>
    <w:p w:rsidR="0092140F" w:rsidRPr="00A76890" w:rsidRDefault="0092140F" w:rsidP="00704CC0">
      <w:pPr>
        <w:pStyle w:val="Bullet1"/>
        <w:numPr>
          <w:ilvl w:val="0"/>
          <w:numId w:val="18"/>
        </w:numPr>
        <w:tabs>
          <w:tab w:val="clear" w:pos="720"/>
          <w:tab w:val="left" w:pos="1134"/>
        </w:tabs>
        <w:spacing w:line="240" w:lineRule="auto"/>
        <w:ind w:left="1134" w:hanging="567"/>
      </w:pPr>
      <w:r w:rsidRPr="00A76890">
        <w:t>Level 2: inputs other than quoted prices included within Level 1 that are observable for the asset or liability, either directly (i.e. as prices) or indirectly (i.e. derived from prices)</w:t>
      </w:r>
    </w:p>
    <w:p w:rsidR="0092140F" w:rsidRPr="00A76890" w:rsidRDefault="0092140F" w:rsidP="00704CC0">
      <w:pPr>
        <w:pStyle w:val="Bullet1"/>
        <w:numPr>
          <w:ilvl w:val="0"/>
          <w:numId w:val="18"/>
        </w:numPr>
        <w:tabs>
          <w:tab w:val="clear" w:pos="720"/>
          <w:tab w:val="left" w:pos="1134"/>
        </w:tabs>
        <w:spacing w:line="240" w:lineRule="auto"/>
        <w:ind w:left="1134" w:hanging="567"/>
      </w:pPr>
      <w:r w:rsidRPr="00A76890">
        <w:t>Level 3: inputs for the asset or liability that are not based on observable market data (unobservable input).</w:t>
      </w:r>
    </w:p>
    <w:p w:rsidR="0092140F" w:rsidRPr="00A76890" w:rsidRDefault="0092140F" w:rsidP="00704CC0">
      <w:pPr>
        <w:pStyle w:val="Normal2-Para"/>
        <w:spacing w:after="60" w:line="240" w:lineRule="auto"/>
        <w:ind w:left="567"/>
      </w:pPr>
      <w:r w:rsidRPr="00A76890">
        <w:t>The level within which the financial asset or liability is classified is determined based on the lowest level of significant input to the fair value measurement. The financial assets and liabilities measured at fair value in the statement of financial position are grouped into the fair value hierarchy as follows:</w:t>
      </w:r>
    </w:p>
    <w:tbl>
      <w:tblPr>
        <w:tblW w:w="5000" w:type="pct"/>
        <w:tblLayout w:type="fixed"/>
        <w:tblCellMar>
          <w:top w:w="28" w:type="dxa"/>
          <w:left w:w="57" w:type="dxa"/>
          <w:bottom w:w="28" w:type="dxa"/>
          <w:right w:w="57" w:type="dxa"/>
        </w:tblCellMar>
        <w:tblLook w:val="0000"/>
      </w:tblPr>
      <w:tblGrid>
        <w:gridCol w:w="3754"/>
        <w:gridCol w:w="1040"/>
        <w:gridCol w:w="1040"/>
        <w:gridCol w:w="1040"/>
        <w:gridCol w:w="1040"/>
        <w:gridCol w:w="1038"/>
      </w:tblGrid>
      <w:tr w:rsidR="0088614A" w:rsidRPr="00A76890" w:rsidTr="0088614A">
        <w:trPr>
          <w:trHeight w:val="20"/>
          <w:tblHeader/>
        </w:trPr>
        <w:tc>
          <w:tcPr>
            <w:tcW w:w="2096" w:type="pct"/>
            <w:vAlign w:val="bottom"/>
          </w:tcPr>
          <w:p w:rsidR="0088614A" w:rsidRPr="00A77160" w:rsidRDefault="0088614A" w:rsidP="00704CC0">
            <w:pPr>
              <w:keepNext/>
              <w:keepLines/>
              <w:tabs>
                <w:tab w:val="left" w:pos="567"/>
                <w:tab w:val="left" w:pos="1134"/>
                <w:tab w:val="left" w:pos="1701"/>
                <w:tab w:val="left" w:pos="2268"/>
              </w:tabs>
              <w:autoSpaceDE w:val="0"/>
              <w:autoSpaceDN w:val="0"/>
              <w:adjustRightInd w:val="0"/>
              <w:ind w:left="567"/>
              <w:rPr>
                <w:rFonts w:cs="Arial"/>
                <w:b/>
                <w:sz w:val="18"/>
                <w:szCs w:val="18"/>
              </w:rPr>
            </w:pPr>
            <w:r w:rsidRPr="00A77160">
              <w:rPr>
                <w:rFonts w:cs="Arial"/>
                <w:b/>
                <w:sz w:val="18"/>
                <w:szCs w:val="18"/>
              </w:rPr>
              <w:t>31 August 2013</w:t>
            </w:r>
          </w:p>
        </w:tc>
        <w:tc>
          <w:tcPr>
            <w:tcW w:w="581" w:type="pct"/>
            <w:vAlign w:val="bottom"/>
          </w:tcPr>
          <w:p w:rsidR="0088614A" w:rsidRPr="00A77160" w:rsidRDefault="0088614A" w:rsidP="00704CC0">
            <w:pPr>
              <w:keepNext/>
              <w:keepLines/>
              <w:tabs>
                <w:tab w:val="left" w:pos="567"/>
                <w:tab w:val="left" w:pos="1134"/>
                <w:tab w:val="left" w:pos="1701"/>
                <w:tab w:val="left" w:pos="2268"/>
              </w:tabs>
              <w:rPr>
                <w:rFonts w:cs="Arial"/>
                <w:bCs/>
                <w:sz w:val="18"/>
                <w:szCs w:val="18"/>
              </w:rPr>
            </w:pPr>
            <w:r w:rsidRPr="00A77160">
              <w:rPr>
                <w:rFonts w:cs="Arial"/>
                <w:bCs/>
                <w:sz w:val="18"/>
                <w:szCs w:val="18"/>
              </w:rPr>
              <w:t>Note</w:t>
            </w:r>
          </w:p>
        </w:tc>
        <w:tc>
          <w:tcPr>
            <w:tcW w:w="581" w:type="pct"/>
            <w:vAlign w:val="bottom"/>
          </w:tcPr>
          <w:p w:rsidR="0088614A" w:rsidRPr="00A77160" w:rsidRDefault="0088614A" w:rsidP="00704CC0">
            <w:pPr>
              <w:keepNext/>
              <w:keepLines/>
              <w:tabs>
                <w:tab w:val="left" w:pos="567"/>
                <w:tab w:val="left" w:pos="1134"/>
                <w:tab w:val="left" w:pos="1701"/>
                <w:tab w:val="left" w:pos="2268"/>
              </w:tabs>
              <w:jc w:val="right"/>
              <w:rPr>
                <w:rFonts w:cs="Arial"/>
                <w:b/>
                <w:sz w:val="18"/>
                <w:szCs w:val="18"/>
              </w:rPr>
            </w:pPr>
            <w:r w:rsidRPr="00A77160">
              <w:rPr>
                <w:rFonts w:cs="Arial"/>
                <w:b/>
                <w:sz w:val="18"/>
                <w:szCs w:val="18"/>
              </w:rPr>
              <w:t>Level 1</w:t>
            </w:r>
          </w:p>
          <w:p w:rsidR="0088614A" w:rsidRPr="00A77160" w:rsidRDefault="0088614A" w:rsidP="00704CC0">
            <w:pPr>
              <w:keepNext/>
              <w:keepLines/>
              <w:tabs>
                <w:tab w:val="left" w:pos="567"/>
                <w:tab w:val="left" w:pos="1134"/>
                <w:tab w:val="left" w:pos="1701"/>
                <w:tab w:val="left" w:pos="2268"/>
              </w:tabs>
              <w:jc w:val="right"/>
              <w:rPr>
                <w:rFonts w:cs="Arial"/>
                <w:b/>
                <w:sz w:val="18"/>
                <w:szCs w:val="18"/>
              </w:rPr>
            </w:pPr>
            <w:r w:rsidRPr="00A77160">
              <w:rPr>
                <w:rFonts w:cs="Arial"/>
                <w:b/>
                <w:bCs/>
                <w:sz w:val="18"/>
                <w:szCs w:val="18"/>
              </w:rPr>
              <w:t>£'000</w:t>
            </w:r>
          </w:p>
        </w:tc>
        <w:tc>
          <w:tcPr>
            <w:tcW w:w="581" w:type="pct"/>
            <w:vAlign w:val="bottom"/>
          </w:tcPr>
          <w:p w:rsidR="0088614A" w:rsidRPr="00A77160" w:rsidRDefault="0088614A" w:rsidP="00704CC0">
            <w:pPr>
              <w:keepNext/>
              <w:keepLines/>
              <w:tabs>
                <w:tab w:val="left" w:pos="567"/>
                <w:tab w:val="left" w:pos="1134"/>
                <w:tab w:val="left" w:pos="1701"/>
                <w:tab w:val="left" w:pos="2268"/>
              </w:tabs>
              <w:jc w:val="right"/>
              <w:rPr>
                <w:rFonts w:cs="Arial"/>
                <w:b/>
                <w:sz w:val="18"/>
                <w:szCs w:val="18"/>
              </w:rPr>
            </w:pPr>
            <w:r w:rsidRPr="00A77160">
              <w:rPr>
                <w:rFonts w:cs="Arial"/>
                <w:b/>
                <w:sz w:val="18"/>
                <w:szCs w:val="18"/>
              </w:rPr>
              <w:t>Level 2</w:t>
            </w:r>
          </w:p>
          <w:p w:rsidR="0088614A" w:rsidRPr="00A77160" w:rsidRDefault="0088614A" w:rsidP="00704CC0">
            <w:pPr>
              <w:keepNext/>
              <w:keepLines/>
              <w:tabs>
                <w:tab w:val="left" w:pos="567"/>
                <w:tab w:val="left" w:pos="1134"/>
                <w:tab w:val="left" w:pos="1701"/>
                <w:tab w:val="left" w:pos="2268"/>
              </w:tabs>
              <w:jc w:val="right"/>
              <w:rPr>
                <w:rFonts w:cs="Arial"/>
                <w:b/>
                <w:sz w:val="18"/>
                <w:szCs w:val="18"/>
              </w:rPr>
            </w:pPr>
            <w:r w:rsidRPr="00A77160">
              <w:rPr>
                <w:rFonts w:cs="Arial"/>
                <w:b/>
                <w:bCs/>
                <w:sz w:val="18"/>
                <w:szCs w:val="18"/>
              </w:rPr>
              <w:t>£'000</w:t>
            </w:r>
          </w:p>
        </w:tc>
        <w:tc>
          <w:tcPr>
            <w:tcW w:w="581" w:type="pct"/>
            <w:vAlign w:val="bottom"/>
          </w:tcPr>
          <w:p w:rsidR="0088614A" w:rsidRPr="00A77160" w:rsidRDefault="0088614A" w:rsidP="00704CC0">
            <w:pPr>
              <w:keepNext/>
              <w:keepLines/>
              <w:tabs>
                <w:tab w:val="left" w:pos="567"/>
                <w:tab w:val="left" w:pos="1134"/>
                <w:tab w:val="left" w:pos="1701"/>
                <w:tab w:val="left" w:pos="2268"/>
              </w:tabs>
              <w:jc w:val="right"/>
              <w:rPr>
                <w:rFonts w:cs="Arial"/>
                <w:b/>
                <w:sz w:val="18"/>
                <w:szCs w:val="18"/>
              </w:rPr>
            </w:pPr>
            <w:r w:rsidRPr="00A77160">
              <w:rPr>
                <w:rFonts w:cs="Arial"/>
                <w:b/>
                <w:sz w:val="18"/>
                <w:szCs w:val="18"/>
              </w:rPr>
              <w:t>Level 3</w:t>
            </w:r>
          </w:p>
          <w:p w:rsidR="0088614A" w:rsidRPr="00A77160" w:rsidRDefault="0088614A" w:rsidP="00704CC0">
            <w:pPr>
              <w:keepNext/>
              <w:keepLines/>
              <w:tabs>
                <w:tab w:val="left" w:pos="567"/>
                <w:tab w:val="left" w:pos="1134"/>
                <w:tab w:val="left" w:pos="1701"/>
                <w:tab w:val="left" w:pos="2268"/>
              </w:tabs>
              <w:jc w:val="right"/>
              <w:rPr>
                <w:rFonts w:cs="Arial"/>
                <w:b/>
                <w:sz w:val="18"/>
                <w:szCs w:val="18"/>
              </w:rPr>
            </w:pPr>
            <w:r w:rsidRPr="00A77160">
              <w:rPr>
                <w:rFonts w:cs="Arial"/>
                <w:b/>
                <w:bCs/>
                <w:sz w:val="18"/>
                <w:szCs w:val="18"/>
              </w:rPr>
              <w:t>£'000</w:t>
            </w:r>
          </w:p>
        </w:tc>
        <w:tc>
          <w:tcPr>
            <w:tcW w:w="580" w:type="pct"/>
            <w:vAlign w:val="bottom"/>
          </w:tcPr>
          <w:p w:rsidR="0088614A" w:rsidRPr="00A77160" w:rsidRDefault="0088614A" w:rsidP="00704CC0">
            <w:pPr>
              <w:keepNext/>
              <w:keepLines/>
              <w:tabs>
                <w:tab w:val="left" w:pos="567"/>
                <w:tab w:val="left" w:pos="1134"/>
                <w:tab w:val="left" w:pos="1701"/>
                <w:tab w:val="left" w:pos="2268"/>
              </w:tabs>
              <w:jc w:val="right"/>
              <w:rPr>
                <w:rFonts w:cs="Arial"/>
                <w:b/>
                <w:sz w:val="18"/>
                <w:szCs w:val="18"/>
              </w:rPr>
            </w:pPr>
            <w:r w:rsidRPr="00A77160">
              <w:rPr>
                <w:rFonts w:cs="Arial"/>
                <w:b/>
                <w:sz w:val="18"/>
                <w:szCs w:val="18"/>
              </w:rPr>
              <w:t>Total</w:t>
            </w:r>
          </w:p>
          <w:p w:rsidR="0088614A" w:rsidRPr="00A77160" w:rsidRDefault="0088614A" w:rsidP="00704CC0">
            <w:pPr>
              <w:keepNext/>
              <w:keepLines/>
              <w:tabs>
                <w:tab w:val="left" w:pos="567"/>
                <w:tab w:val="left" w:pos="1134"/>
                <w:tab w:val="left" w:pos="1701"/>
                <w:tab w:val="left" w:pos="2268"/>
              </w:tabs>
              <w:jc w:val="right"/>
              <w:rPr>
                <w:rFonts w:cs="Arial"/>
                <w:b/>
                <w:sz w:val="18"/>
                <w:szCs w:val="18"/>
              </w:rPr>
            </w:pPr>
            <w:r w:rsidRPr="00A77160">
              <w:rPr>
                <w:rFonts w:cs="Arial"/>
                <w:b/>
                <w:bCs/>
                <w:sz w:val="18"/>
                <w:szCs w:val="18"/>
              </w:rPr>
              <w:t>£'000</w:t>
            </w:r>
          </w:p>
        </w:tc>
      </w:tr>
      <w:tr w:rsidR="00A77160" w:rsidRPr="00A76890" w:rsidTr="0088614A">
        <w:trPr>
          <w:trHeight w:val="20"/>
        </w:trPr>
        <w:tc>
          <w:tcPr>
            <w:tcW w:w="2096" w:type="pct"/>
          </w:tcPr>
          <w:p w:rsidR="00A77160" w:rsidRPr="00A77160" w:rsidRDefault="00A77160" w:rsidP="00704CC0">
            <w:pPr>
              <w:keepNext/>
              <w:keepLines/>
              <w:tabs>
                <w:tab w:val="left" w:pos="567"/>
                <w:tab w:val="left" w:pos="1134"/>
                <w:tab w:val="left" w:pos="1701"/>
                <w:tab w:val="left" w:pos="2268"/>
              </w:tabs>
              <w:ind w:left="567"/>
              <w:rPr>
                <w:rFonts w:cs="Arial"/>
                <w:b/>
                <w:sz w:val="18"/>
                <w:szCs w:val="18"/>
              </w:rPr>
            </w:pPr>
            <w:r w:rsidRPr="00A77160">
              <w:rPr>
                <w:rFonts w:cs="Arial"/>
                <w:b/>
                <w:sz w:val="18"/>
                <w:szCs w:val="18"/>
              </w:rPr>
              <w:t>Assets:</w:t>
            </w:r>
          </w:p>
        </w:tc>
        <w:tc>
          <w:tcPr>
            <w:tcW w:w="581" w:type="pct"/>
            <w:vAlign w:val="bottom"/>
          </w:tcPr>
          <w:p w:rsidR="00A77160" w:rsidRPr="00A77160" w:rsidRDefault="00A77160" w:rsidP="00704CC0">
            <w:pPr>
              <w:keepNext/>
              <w:keepLines/>
              <w:tabs>
                <w:tab w:val="left" w:pos="567"/>
                <w:tab w:val="left" w:pos="1134"/>
                <w:tab w:val="left" w:pos="1701"/>
                <w:tab w:val="left" w:pos="2268"/>
              </w:tabs>
              <w:rPr>
                <w:rFonts w:cs="Arial"/>
                <w:sz w:val="18"/>
                <w:szCs w:val="18"/>
              </w:rPr>
            </w:pPr>
          </w:p>
        </w:tc>
        <w:tc>
          <w:tcPr>
            <w:tcW w:w="581" w:type="pct"/>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p>
        </w:tc>
        <w:tc>
          <w:tcPr>
            <w:tcW w:w="581" w:type="pct"/>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p>
        </w:tc>
        <w:tc>
          <w:tcPr>
            <w:tcW w:w="581" w:type="pct"/>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p>
        </w:tc>
        <w:tc>
          <w:tcPr>
            <w:tcW w:w="580" w:type="pct"/>
          </w:tcPr>
          <w:p w:rsidR="00A77160" w:rsidRPr="00A77160" w:rsidRDefault="00A77160" w:rsidP="00704CC0">
            <w:pPr>
              <w:keepNext/>
              <w:keepLines/>
              <w:tabs>
                <w:tab w:val="left" w:pos="567"/>
                <w:tab w:val="left" w:pos="1134"/>
                <w:tab w:val="left" w:pos="1701"/>
                <w:tab w:val="left" w:pos="2268"/>
              </w:tabs>
              <w:jc w:val="right"/>
              <w:rPr>
                <w:rFonts w:cs="Arial"/>
                <w:sz w:val="18"/>
                <w:szCs w:val="18"/>
              </w:rPr>
            </w:pPr>
          </w:p>
        </w:tc>
      </w:tr>
      <w:tr w:rsidR="00A77160" w:rsidRPr="00A76890" w:rsidTr="0088614A">
        <w:trPr>
          <w:trHeight w:val="20"/>
        </w:trPr>
        <w:tc>
          <w:tcPr>
            <w:tcW w:w="2096" w:type="pct"/>
          </w:tcPr>
          <w:p w:rsidR="00A77160" w:rsidRPr="00A77160" w:rsidRDefault="00A77160" w:rsidP="00704CC0">
            <w:pPr>
              <w:keepNext/>
              <w:keepLines/>
              <w:tabs>
                <w:tab w:val="left" w:pos="567"/>
                <w:tab w:val="left" w:pos="1134"/>
                <w:tab w:val="left" w:pos="1701"/>
                <w:tab w:val="left" w:pos="2268"/>
              </w:tabs>
              <w:ind w:left="567"/>
              <w:rPr>
                <w:rFonts w:cs="Arial"/>
                <w:sz w:val="18"/>
                <w:szCs w:val="18"/>
              </w:rPr>
            </w:pPr>
            <w:r w:rsidRPr="00A77160">
              <w:rPr>
                <w:rFonts w:cs="Arial"/>
                <w:sz w:val="18"/>
                <w:szCs w:val="18"/>
              </w:rPr>
              <w:t>Listed securities</w:t>
            </w:r>
          </w:p>
        </w:tc>
        <w:tc>
          <w:tcPr>
            <w:tcW w:w="581" w:type="pct"/>
            <w:vAlign w:val="bottom"/>
          </w:tcPr>
          <w:p w:rsidR="00A77160" w:rsidRPr="00A77160" w:rsidRDefault="00A77160" w:rsidP="00704CC0">
            <w:pPr>
              <w:keepNext/>
              <w:keepLines/>
              <w:tabs>
                <w:tab w:val="left" w:pos="567"/>
                <w:tab w:val="left" w:pos="1134"/>
                <w:tab w:val="left" w:pos="1701"/>
                <w:tab w:val="left" w:pos="2268"/>
              </w:tabs>
              <w:rPr>
                <w:rFonts w:cs="Arial"/>
                <w:sz w:val="18"/>
                <w:szCs w:val="18"/>
              </w:rPr>
            </w:pPr>
            <w:r w:rsidRPr="00A77160">
              <w:rPr>
                <w:rFonts w:cs="Arial"/>
                <w:sz w:val="18"/>
                <w:szCs w:val="18"/>
              </w:rPr>
              <w:t>14</w:t>
            </w:r>
          </w:p>
        </w:tc>
        <w:tc>
          <w:tcPr>
            <w:tcW w:w="581" w:type="pct"/>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r w:rsidRPr="00A77160">
              <w:rPr>
                <w:rFonts w:cs="Arial"/>
                <w:b/>
                <w:sz w:val="18"/>
                <w:szCs w:val="18"/>
              </w:rPr>
              <w:t>1,875</w:t>
            </w:r>
          </w:p>
        </w:tc>
        <w:tc>
          <w:tcPr>
            <w:tcW w:w="581" w:type="pct"/>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r w:rsidRPr="00A77160">
              <w:rPr>
                <w:rFonts w:cs="Arial"/>
                <w:b/>
                <w:sz w:val="18"/>
                <w:szCs w:val="18"/>
              </w:rPr>
              <w:t>-</w:t>
            </w:r>
          </w:p>
        </w:tc>
        <w:tc>
          <w:tcPr>
            <w:tcW w:w="581" w:type="pct"/>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r w:rsidRPr="00A77160">
              <w:rPr>
                <w:rFonts w:cs="Arial"/>
                <w:b/>
                <w:sz w:val="18"/>
                <w:szCs w:val="18"/>
              </w:rPr>
              <w:t>-</w:t>
            </w:r>
          </w:p>
        </w:tc>
        <w:tc>
          <w:tcPr>
            <w:tcW w:w="580" w:type="pct"/>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r w:rsidRPr="00A77160">
              <w:rPr>
                <w:rFonts w:cs="Arial"/>
                <w:b/>
                <w:sz w:val="18"/>
                <w:szCs w:val="18"/>
              </w:rPr>
              <w:t>1,875</w:t>
            </w:r>
          </w:p>
        </w:tc>
      </w:tr>
      <w:tr w:rsidR="00A77160" w:rsidRPr="00A76890" w:rsidTr="0088614A">
        <w:trPr>
          <w:trHeight w:val="20"/>
        </w:trPr>
        <w:tc>
          <w:tcPr>
            <w:tcW w:w="2096" w:type="pct"/>
          </w:tcPr>
          <w:p w:rsidR="00A77160" w:rsidRPr="00A77160" w:rsidRDefault="00A77160" w:rsidP="00704CC0">
            <w:pPr>
              <w:keepNext/>
              <w:keepLines/>
              <w:tabs>
                <w:tab w:val="left" w:pos="567"/>
                <w:tab w:val="left" w:pos="1134"/>
                <w:tab w:val="left" w:pos="1701"/>
                <w:tab w:val="left" w:pos="2268"/>
              </w:tabs>
              <w:ind w:left="567"/>
              <w:rPr>
                <w:rFonts w:cs="Arial"/>
                <w:sz w:val="18"/>
                <w:szCs w:val="18"/>
              </w:rPr>
            </w:pPr>
            <w:r w:rsidRPr="00A77160">
              <w:rPr>
                <w:rFonts w:cs="Arial"/>
                <w:sz w:val="18"/>
                <w:szCs w:val="18"/>
              </w:rPr>
              <w:t>Unlisted securities</w:t>
            </w:r>
          </w:p>
        </w:tc>
        <w:tc>
          <w:tcPr>
            <w:tcW w:w="581" w:type="pct"/>
            <w:vAlign w:val="bottom"/>
          </w:tcPr>
          <w:p w:rsidR="00A77160" w:rsidRPr="00A77160" w:rsidRDefault="00A77160" w:rsidP="00704CC0">
            <w:pPr>
              <w:keepNext/>
              <w:keepLines/>
              <w:tabs>
                <w:tab w:val="left" w:pos="567"/>
                <w:tab w:val="left" w:pos="1134"/>
                <w:tab w:val="left" w:pos="1701"/>
                <w:tab w:val="left" w:pos="2268"/>
              </w:tabs>
              <w:rPr>
                <w:rFonts w:cs="Arial"/>
                <w:sz w:val="18"/>
                <w:szCs w:val="18"/>
              </w:rPr>
            </w:pPr>
            <w:r w:rsidRPr="00A77160">
              <w:rPr>
                <w:rFonts w:cs="Arial"/>
                <w:sz w:val="18"/>
                <w:szCs w:val="18"/>
              </w:rPr>
              <w:t>14</w:t>
            </w:r>
          </w:p>
        </w:tc>
        <w:tc>
          <w:tcPr>
            <w:tcW w:w="581" w:type="pct"/>
            <w:vAlign w:val="bottom"/>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r w:rsidRPr="00A77160">
              <w:rPr>
                <w:rFonts w:cs="Arial"/>
                <w:b/>
                <w:sz w:val="18"/>
                <w:szCs w:val="18"/>
              </w:rPr>
              <w:t>-</w:t>
            </w:r>
          </w:p>
        </w:tc>
        <w:tc>
          <w:tcPr>
            <w:tcW w:w="581" w:type="pct"/>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r w:rsidRPr="00A77160">
              <w:rPr>
                <w:rFonts w:cs="Arial"/>
                <w:b/>
                <w:sz w:val="18"/>
                <w:szCs w:val="18"/>
              </w:rPr>
              <w:t>-</w:t>
            </w:r>
          </w:p>
        </w:tc>
        <w:tc>
          <w:tcPr>
            <w:tcW w:w="581" w:type="pct"/>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r w:rsidRPr="00A77160">
              <w:rPr>
                <w:rFonts w:cs="Arial"/>
                <w:b/>
                <w:sz w:val="18"/>
                <w:szCs w:val="18"/>
              </w:rPr>
              <w:t>4,875</w:t>
            </w:r>
          </w:p>
        </w:tc>
        <w:tc>
          <w:tcPr>
            <w:tcW w:w="580" w:type="pct"/>
            <w:vAlign w:val="bottom"/>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r w:rsidRPr="00A77160">
              <w:rPr>
                <w:rFonts w:cs="Arial"/>
                <w:b/>
                <w:sz w:val="18"/>
                <w:szCs w:val="18"/>
              </w:rPr>
              <w:t>4,875</w:t>
            </w:r>
          </w:p>
        </w:tc>
      </w:tr>
      <w:tr w:rsidR="00A77160" w:rsidRPr="00A76890" w:rsidTr="0088614A">
        <w:trPr>
          <w:trHeight w:val="20"/>
        </w:trPr>
        <w:tc>
          <w:tcPr>
            <w:tcW w:w="2096" w:type="pct"/>
          </w:tcPr>
          <w:p w:rsidR="00A77160" w:rsidRPr="00A77160" w:rsidRDefault="00A77160" w:rsidP="00704CC0">
            <w:pPr>
              <w:keepNext/>
              <w:keepLines/>
              <w:tabs>
                <w:tab w:val="left" w:pos="567"/>
                <w:tab w:val="left" w:pos="1134"/>
                <w:tab w:val="left" w:pos="1701"/>
                <w:tab w:val="left" w:pos="2268"/>
              </w:tabs>
              <w:autoSpaceDE w:val="0"/>
              <w:autoSpaceDN w:val="0"/>
              <w:adjustRightInd w:val="0"/>
              <w:ind w:left="567"/>
              <w:rPr>
                <w:rFonts w:cs="Arial"/>
                <w:sz w:val="18"/>
                <w:szCs w:val="18"/>
              </w:rPr>
            </w:pPr>
            <w:r w:rsidRPr="00A77160">
              <w:rPr>
                <w:rFonts w:cs="Arial"/>
                <w:b/>
                <w:bCs/>
                <w:sz w:val="18"/>
                <w:szCs w:val="18"/>
              </w:rPr>
              <w:t>Total</w:t>
            </w:r>
          </w:p>
        </w:tc>
        <w:tc>
          <w:tcPr>
            <w:tcW w:w="581" w:type="pct"/>
            <w:vAlign w:val="bottom"/>
          </w:tcPr>
          <w:p w:rsidR="00A77160" w:rsidRPr="00A77160" w:rsidRDefault="00A77160" w:rsidP="00704CC0">
            <w:pPr>
              <w:keepNext/>
              <w:keepLines/>
              <w:tabs>
                <w:tab w:val="left" w:pos="567"/>
                <w:tab w:val="left" w:pos="1134"/>
                <w:tab w:val="left" w:pos="1701"/>
                <w:tab w:val="left" w:pos="2268"/>
              </w:tabs>
              <w:rPr>
                <w:rFonts w:cs="Arial"/>
                <w:b/>
                <w:sz w:val="18"/>
                <w:szCs w:val="18"/>
              </w:rPr>
            </w:pPr>
          </w:p>
        </w:tc>
        <w:tc>
          <w:tcPr>
            <w:tcW w:w="581" w:type="pct"/>
            <w:tcBorders>
              <w:top w:val="single" w:sz="4" w:space="0" w:color="auto"/>
            </w:tcBorders>
            <w:vAlign w:val="bottom"/>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r w:rsidRPr="00A77160">
              <w:rPr>
                <w:rFonts w:cs="Arial"/>
                <w:b/>
                <w:sz w:val="18"/>
                <w:szCs w:val="18"/>
              </w:rPr>
              <w:t>1,875</w:t>
            </w:r>
          </w:p>
        </w:tc>
        <w:tc>
          <w:tcPr>
            <w:tcW w:w="581" w:type="pct"/>
            <w:tcBorders>
              <w:top w:val="single" w:sz="4" w:space="0" w:color="auto"/>
            </w:tcBorders>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r w:rsidRPr="00A77160">
              <w:rPr>
                <w:rFonts w:cs="Arial"/>
                <w:b/>
                <w:sz w:val="18"/>
                <w:szCs w:val="18"/>
              </w:rPr>
              <w:t>-</w:t>
            </w:r>
          </w:p>
        </w:tc>
        <w:tc>
          <w:tcPr>
            <w:tcW w:w="581" w:type="pct"/>
            <w:tcBorders>
              <w:top w:val="single" w:sz="4" w:space="0" w:color="auto"/>
            </w:tcBorders>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r w:rsidRPr="00A77160">
              <w:rPr>
                <w:rFonts w:cs="Arial"/>
                <w:b/>
                <w:sz w:val="18"/>
                <w:szCs w:val="18"/>
              </w:rPr>
              <w:t>4,875</w:t>
            </w:r>
          </w:p>
        </w:tc>
        <w:tc>
          <w:tcPr>
            <w:tcW w:w="580" w:type="pct"/>
            <w:tcBorders>
              <w:top w:val="single" w:sz="4" w:space="0" w:color="auto"/>
            </w:tcBorders>
            <w:vAlign w:val="bottom"/>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r w:rsidRPr="00A77160">
              <w:rPr>
                <w:rFonts w:cs="Arial"/>
                <w:b/>
                <w:sz w:val="18"/>
                <w:szCs w:val="18"/>
              </w:rPr>
              <w:t>6,750</w:t>
            </w:r>
          </w:p>
        </w:tc>
      </w:tr>
      <w:tr w:rsidR="00A77160" w:rsidRPr="00A76890" w:rsidTr="0088614A">
        <w:trPr>
          <w:trHeight w:val="20"/>
        </w:trPr>
        <w:tc>
          <w:tcPr>
            <w:tcW w:w="2096" w:type="pct"/>
          </w:tcPr>
          <w:p w:rsidR="00A77160" w:rsidRPr="00A77160" w:rsidRDefault="00A77160" w:rsidP="00704CC0">
            <w:pPr>
              <w:keepNext/>
              <w:keepLines/>
              <w:tabs>
                <w:tab w:val="left" w:pos="567"/>
                <w:tab w:val="left" w:pos="1134"/>
                <w:tab w:val="left" w:pos="1701"/>
                <w:tab w:val="left" w:pos="2268"/>
              </w:tabs>
              <w:autoSpaceDE w:val="0"/>
              <w:autoSpaceDN w:val="0"/>
              <w:adjustRightInd w:val="0"/>
              <w:ind w:left="567"/>
              <w:rPr>
                <w:rFonts w:cs="Arial"/>
                <w:b/>
                <w:bCs/>
                <w:sz w:val="18"/>
                <w:szCs w:val="18"/>
              </w:rPr>
            </w:pPr>
            <w:r w:rsidRPr="00A77160">
              <w:rPr>
                <w:rFonts w:cs="Arial"/>
                <w:b/>
                <w:bCs/>
                <w:sz w:val="18"/>
                <w:szCs w:val="18"/>
              </w:rPr>
              <w:t>Liabilities</w:t>
            </w:r>
          </w:p>
        </w:tc>
        <w:tc>
          <w:tcPr>
            <w:tcW w:w="581" w:type="pct"/>
            <w:vAlign w:val="bottom"/>
          </w:tcPr>
          <w:p w:rsidR="00A77160" w:rsidRPr="00A77160" w:rsidRDefault="00A77160" w:rsidP="00704CC0">
            <w:pPr>
              <w:keepNext/>
              <w:keepLines/>
              <w:tabs>
                <w:tab w:val="left" w:pos="567"/>
                <w:tab w:val="left" w:pos="1134"/>
                <w:tab w:val="left" w:pos="1701"/>
                <w:tab w:val="left" w:pos="2268"/>
              </w:tabs>
              <w:rPr>
                <w:rFonts w:cs="Arial"/>
                <w:b/>
                <w:sz w:val="18"/>
                <w:szCs w:val="18"/>
              </w:rPr>
            </w:pPr>
          </w:p>
        </w:tc>
        <w:tc>
          <w:tcPr>
            <w:tcW w:w="581" w:type="pct"/>
            <w:tcBorders>
              <w:bottom w:val="single" w:sz="4" w:space="0" w:color="auto"/>
            </w:tcBorders>
            <w:vAlign w:val="bottom"/>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r w:rsidRPr="00A77160">
              <w:rPr>
                <w:rFonts w:cs="Arial"/>
                <w:b/>
                <w:sz w:val="18"/>
                <w:szCs w:val="18"/>
              </w:rPr>
              <w:t>-</w:t>
            </w:r>
          </w:p>
        </w:tc>
        <w:tc>
          <w:tcPr>
            <w:tcW w:w="581" w:type="pct"/>
            <w:tcBorders>
              <w:bottom w:val="single" w:sz="4" w:space="0" w:color="auto"/>
            </w:tcBorders>
            <w:vAlign w:val="bottom"/>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r w:rsidRPr="00A77160">
              <w:rPr>
                <w:rFonts w:cs="Arial"/>
                <w:b/>
                <w:sz w:val="18"/>
                <w:szCs w:val="18"/>
              </w:rPr>
              <w:t>-</w:t>
            </w:r>
          </w:p>
        </w:tc>
        <w:tc>
          <w:tcPr>
            <w:tcW w:w="581" w:type="pct"/>
            <w:tcBorders>
              <w:bottom w:val="single" w:sz="4" w:space="0" w:color="auto"/>
            </w:tcBorders>
            <w:vAlign w:val="bottom"/>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r w:rsidRPr="00A77160">
              <w:rPr>
                <w:rFonts w:cs="Arial"/>
                <w:b/>
                <w:sz w:val="18"/>
                <w:szCs w:val="18"/>
              </w:rPr>
              <w:t>-</w:t>
            </w:r>
          </w:p>
        </w:tc>
        <w:tc>
          <w:tcPr>
            <w:tcW w:w="580" w:type="pct"/>
            <w:tcBorders>
              <w:bottom w:val="single" w:sz="4" w:space="0" w:color="auto"/>
            </w:tcBorders>
            <w:vAlign w:val="bottom"/>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r w:rsidRPr="00A77160">
              <w:rPr>
                <w:rFonts w:cs="Arial"/>
                <w:b/>
                <w:sz w:val="18"/>
                <w:szCs w:val="18"/>
              </w:rPr>
              <w:t>-</w:t>
            </w:r>
          </w:p>
        </w:tc>
      </w:tr>
      <w:tr w:rsidR="00A77160" w:rsidRPr="00A76890" w:rsidTr="0088614A">
        <w:trPr>
          <w:trHeight w:val="20"/>
        </w:trPr>
        <w:tc>
          <w:tcPr>
            <w:tcW w:w="2096" w:type="pct"/>
          </w:tcPr>
          <w:p w:rsidR="00A77160" w:rsidRPr="00A77160" w:rsidRDefault="00A77160" w:rsidP="00704CC0">
            <w:pPr>
              <w:keepNext/>
              <w:keepLines/>
              <w:tabs>
                <w:tab w:val="left" w:pos="567"/>
                <w:tab w:val="left" w:pos="1134"/>
                <w:tab w:val="left" w:pos="1701"/>
                <w:tab w:val="left" w:pos="2268"/>
              </w:tabs>
              <w:autoSpaceDE w:val="0"/>
              <w:autoSpaceDN w:val="0"/>
              <w:adjustRightInd w:val="0"/>
              <w:ind w:left="567"/>
              <w:rPr>
                <w:rFonts w:cs="Arial"/>
                <w:b/>
                <w:bCs/>
                <w:sz w:val="18"/>
                <w:szCs w:val="18"/>
              </w:rPr>
            </w:pPr>
            <w:r w:rsidRPr="00A77160">
              <w:rPr>
                <w:rFonts w:cs="Arial"/>
                <w:b/>
                <w:bCs/>
                <w:sz w:val="18"/>
                <w:szCs w:val="18"/>
              </w:rPr>
              <w:t>Net fair value</w:t>
            </w:r>
          </w:p>
        </w:tc>
        <w:tc>
          <w:tcPr>
            <w:tcW w:w="581" w:type="pct"/>
            <w:vAlign w:val="bottom"/>
          </w:tcPr>
          <w:p w:rsidR="00A77160" w:rsidRPr="00A77160" w:rsidRDefault="00A77160" w:rsidP="00704CC0">
            <w:pPr>
              <w:keepNext/>
              <w:keepLines/>
              <w:tabs>
                <w:tab w:val="left" w:pos="567"/>
                <w:tab w:val="left" w:pos="1134"/>
                <w:tab w:val="left" w:pos="1701"/>
                <w:tab w:val="left" w:pos="2268"/>
              </w:tabs>
              <w:rPr>
                <w:rFonts w:cs="Arial"/>
                <w:b/>
                <w:sz w:val="18"/>
                <w:szCs w:val="18"/>
              </w:rPr>
            </w:pPr>
          </w:p>
        </w:tc>
        <w:tc>
          <w:tcPr>
            <w:tcW w:w="581" w:type="pct"/>
            <w:tcBorders>
              <w:top w:val="single" w:sz="4" w:space="0" w:color="auto"/>
              <w:bottom w:val="single" w:sz="4" w:space="0" w:color="auto"/>
            </w:tcBorders>
            <w:vAlign w:val="bottom"/>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r w:rsidRPr="00A77160">
              <w:rPr>
                <w:rFonts w:cs="Arial"/>
                <w:b/>
                <w:sz w:val="18"/>
                <w:szCs w:val="18"/>
              </w:rPr>
              <w:t>1,875</w:t>
            </w:r>
          </w:p>
        </w:tc>
        <w:tc>
          <w:tcPr>
            <w:tcW w:w="581" w:type="pct"/>
            <w:tcBorders>
              <w:top w:val="single" w:sz="4" w:space="0" w:color="auto"/>
              <w:bottom w:val="single" w:sz="4" w:space="0" w:color="auto"/>
            </w:tcBorders>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r w:rsidRPr="00A77160">
              <w:rPr>
                <w:rFonts w:cs="Arial"/>
                <w:b/>
                <w:sz w:val="18"/>
                <w:szCs w:val="18"/>
              </w:rPr>
              <w:t>-</w:t>
            </w:r>
          </w:p>
        </w:tc>
        <w:tc>
          <w:tcPr>
            <w:tcW w:w="581" w:type="pct"/>
            <w:tcBorders>
              <w:top w:val="single" w:sz="4" w:space="0" w:color="auto"/>
              <w:bottom w:val="single" w:sz="4" w:space="0" w:color="auto"/>
            </w:tcBorders>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r w:rsidRPr="00A77160">
              <w:rPr>
                <w:rFonts w:cs="Arial"/>
                <w:b/>
                <w:sz w:val="18"/>
                <w:szCs w:val="18"/>
              </w:rPr>
              <w:t>4,875</w:t>
            </w:r>
          </w:p>
        </w:tc>
        <w:tc>
          <w:tcPr>
            <w:tcW w:w="580" w:type="pct"/>
            <w:tcBorders>
              <w:top w:val="single" w:sz="4" w:space="0" w:color="auto"/>
              <w:bottom w:val="single" w:sz="4" w:space="0" w:color="auto"/>
            </w:tcBorders>
            <w:vAlign w:val="bottom"/>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r w:rsidRPr="00A77160">
              <w:rPr>
                <w:rFonts w:cs="Arial"/>
                <w:b/>
                <w:sz w:val="18"/>
                <w:szCs w:val="18"/>
              </w:rPr>
              <w:t>6,750</w:t>
            </w:r>
          </w:p>
        </w:tc>
      </w:tr>
      <w:tr w:rsidR="00A77160" w:rsidRPr="00A76890" w:rsidTr="0088614A">
        <w:trPr>
          <w:trHeight w:val="20"/>
        </w:trPr>
        <w:tc>
          <w:tcPr>
            <w:tcW w:w="2096" w:type="pct"/>
          </w:tcPr>
          <w:p w:rsidR="00A77160" w:rsidRPr="00A77160" w:rsidRDefault="00A77160" w:rsidP="00704CC0">
            <w:pPr>
              <w:keepNext/>
              <w:keepLines/>
              <w:tabs>
                <w:tab w:val="left" w:pos="567"/>
                <w:tab w:val="left" w:pos="1134"/>
                <w:tab w:val="left" w:pos="1701"/>
                <w:tab w:val="left" w:pos="2268"/>
              </w:tabs>
              <w:autoSpaceDE w:val="0"/>
              <w:autoSpaceDN w:val="0"/>
              <w:adjustRightInd w:val="0"/>
              <w:ind w:left="567"/>
              <w:rPr>
                <w:rFonts w:cs="Arial"/>
                <w:b/>
                <w:bCs/>
                <w:sz w:val="18"/>
                <w:szCs w:val="18"/>
              </w:rPr>
            </w:pPr>
          </w:p>
        </w:tc>
        <w:tc>
          <w:tcPr>
            <w:tcW w:w="581" w:type="pct"/>
            <w:vAlign w:val="bottom"/>
          </w:tcPr>
          <w:p w:rsidR="00A77160" w:rsidRPr="00A77160" w:rsidRDefault="00A77160" w:rsidP="00704CC0">
            <w:pPr>
              <w:keepNext/>
              <w:keepLines/>
              <w:tabs>
                <w:tab w:val="left" w:pos="567"/>
                <w:tab w:val="left" w:pos="1134"/>
                <w:tab w:val="left" w:pos="1701"/>
                <w:tab w:val="left" w:pos="2268"/>
              </w:tabs>
              <w:rPr>
                <w:rFonts w:cs="Arial"/>
                <w:b/>
                <w:sz w:val="18"/>
                <w:szCs w:val="18"/>
              </w:rPr>
            </w:pPr>
          </w:p>
        </w:tc>
        <w:tc>
          <w:tcPr>
            <w:tcW w:w="581" w:type="pct"/>
            <w:tcBorders>
              <w:top w:val="single" w:sz="4" w:space="0" w:color="auto"/>
            </w:tcBorders>
            <w:vAlign w:val="bottom"/>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p>
        </w:tc>
        <w:tc>
          <w:tcPr>
            <w:tcW w:w="581" w:type="pct"/>
            <w:tcBorders>
              <w:top w:val="single" w:sz="4" w:space="0" w:color="auto"/>
            </w:tcBorders>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p>
        </w:tc>
        <w:tc>
          <w:tcPr>
            <w:tcW w:w="581" w:type="pct"/>
            <w:tcBorders>
              <w:top w:val="single" w:sz="4" w:space="0" w:color="auto"/>
            </w:tcBorders>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p>
        </w:tc>
        <w:tc>
          <w:tcPr>
            <w:tcW w:w="580" w:type="pct"/>
            <w:tcBorders>
              <w:top w:val="single" w:sz="4" w:space="0" w:color="auto"/>
            </w:tcBorders>
            <w:vAlign w:val="bottom"/>
          </w:tcPr>
          <w:p w:rsidR="00A77160" w:rsidRPr="00A77160" w:rsidRDefault="00A77160" w:rsidP="00704CC0">
            <w:pPr>
              <w:keepNext/>
              <w:keepLines/>
              <w:tabs>
                <w:tab w:val="left" w:pos="567"/>
                <w:tab w:val="left" w:pos="1134"/>
                <w:tab w:val="left" w:pos="1701"/>
                <w:tab w:val="left" w:pos="2268"/>
              </w:tabs>
              <w:jc w:val="right"/>
              <w:rPr>
                <w:rFonts w:cs="Arial"/>
                <w:b/>
                <w:sz w:val="18"/>
                <w:szCs w:val="18"/>
              </w:rPr>
            </w:pPr>
          </w:p>
        </w:tc>
      </w:tr>
      <w:tr w:rsidR="0088614A" w:rsidRPr="0088614A" w:rsidTr="0088614A">
        <w:trPr>
          <w:trHeight w:val="20"/>
          <w:tblHeader/>
        </w:trPr>
        <w:tc>
          <w:tcPr>
            <w:tcW w:w="2096" w:type="pct"/>
            <w:vAlign w:val="bottom"/>
          </w:tcPr>
          <w:p w:rsidR="0088614A" w:rsidRPr="0088614A" w:rsidRDefault="0088614A" w:rsidP="00704CC0">
            <w:pPr>
              <w:keepNext/>
              <w:keepLines/>
              <w:tabs>
                <w:tab w:val="left" w:pos="567"/>
                <w:tab w:val="left" w:pos="1134"/>
                <w:tab w:val="left" w:pos="1701"/>
                <w:tab w:val="left" w:pos="2268"/>
              </w:tabs>
              <w:autoSpaceDE w:val="0"/>
              <w:autoSpaceDN w:val="0"/>
              <w:adjustRightInd w:val="0"/>
              <w:ind w:left="567"/>
              <w:rPr>
                <w:rFonts w:cs="Arial"/>
                <w:sz w:val="18"/>
                <w:szCs w:val="18"/>
              </w:rPr>
            </w:pPr>
            <w:r w:rsidRPr="0088614A">
              <w:rPr>
                <w:rFonts w:cs="Arial"/>
                <w:sz w:val="18"/>
                <w:szCs w:val="18"/>
              </w:rPr>
              <w:t>31 August 2012</w:t>
            </w:r>
          </w:p>
        </w:tc>
        <w:tc>
          <w:tcPr>
            <w:tcW w:w="581" w:type="pct"/>
            <w:vAlign w:val="bottom"/>
          </w:tcPr>
          <w:p w:rsidR="0088614A" w:rsidRPr="0088614A" w:rsidRDefault="0088614A" w:rsidP="00704CC0">
            <w:pPr>
              <w:keepNext/>
              <w:keepLines/>
              <w:tabs>
                <w:tab w:val="left" w:pos="567"/>
                <w:tab w:val="left" w:pos="1134"/>
                <w:tab w:val="left" w:pos="1701"/>
                <w:tab w:val="left" w:pos="2268"/>
              </w:tabs>
              <w:rPr>
                <w:rFonts w:cs="Arial"/>
                <w:bCs/>
                <w:sz w:val="18"/>
                <w:szCs w:val="18"/>
              </w:rPr>
            </w:pPr>
            <w:r w:rsidRPr="0088614A">
              <w:rPr>
                <w:rFonts w:cs="Arial"/>
                <w:bCs/>
                <w:sz w:val="18"/>
                <w:szCs w:val="18"/>
              </w:rPr>
              <w:t>Note</w:t>
            </w:r>
          </w:p>
        </w:tc>
        <w:tc>
          <w:tcPr>
            <w:tcW w:w="581" w:type="pct"/>
            <w:vAlign w:val="bottom"/>
          </w:tcPr>
          <w:p w:rsidR="0088614A" w:rsidRPr="0088614A" w:rsidRDefault="0088614A" w:rsidP="00704CC0">
            <w:pPr>
              <w:keepNext/>
              <w:keepLines/>
              <w:tabs>
                <w:tab w:val="left" w:pos="567"/>
                <w:tab w:val="left" w:pos="1134"/>
                <w:tab w:val="left" w:pos="1701"/>
                <w:tab w:val="left" w:pos="2268"/>
              </w:tabs>
              <w:jc w:val="right"/>
              <w:rPr>
                <w:rFonts w:cs="Arial"/>
                <w:sz w:val="18"/>
                <w:szCs w:val="18"/>
              </w:rPr>
            </w:pPr>
            <w:r w:rsidRPr="0088614A">
              <w:rPr>
                <w:rFonts w:cs="Arial"/>
                <w:sz w:val="18"/>
                <w:szCs w:val="18"/>
              </w:rPr>
              <w:t>Level 1</w:t>
            </w:r>
          </w:p>
          <w:p w:rsidR="0088614A" w:rsidRPr="0088614A" w:rsidRDefault="0088614A" w:rsidP="00704CC0">
            <w:pPr>
              <w:keepNext/>
              <w:keepLines/>
              <w:tabs>
                <w:tab w:val="left" w:pos="567"/>
                <w:tab w:val="left" w:pos="1134"/>
                <w:tab w:val="left" w:pos="1701"/>
                <w:tab w:val="left" w:pos="2268"/>
              </w:tabs>
              <w:jc w:val="right"/>
              <w:rPr>
                <w:rFonts w:cs="Arial"/>
                <w:sz w:val="18"/>
                <w:szCs w:val="18"/>
              </w:rPr>
            </w:pPr>
            <w:r w:rsidRPr="0088614A">
              <w:rPr>
                <w:rFonts w:cs="Arial"/>
                <w:bCs/>
                <w:sz w:val="18"/>
                <w:szCs w:val="18"/>
              </w:rPr>
              <w:t>£'000</w:t>
            </w:r>
          </w:p>
        </w:tc>
        <w:tc>
          <w:tcPr>
            <w:tcW w:w="581" w:type="pct"/>
            <w:vAlign w:val="bottom"/>
          </w:tcPr>
          <w:p w:rsidR="0088614A" w:rsidRPr="0088614A" w:rsidRDefault="0088614A" w:rsidP="00704CC0">
            <w:pPr>
              <w:keepNext/>
              <w:keepLines/>
              <w:tabs>
                <w:tab w:val="left" w:pos="567"/>
                <w:tab w:val="left" w:pos="1134"/>
                <w:tab w:val="left" w:pos="1701"/>
                <w:tab w:val="left" w:pos="2268"/>
              </w:tabs>
              <w:jc w:val="right"/>
              <w:rPr>
                <w:rFonts w:cs="Arial"/>
                <w:sz w:val="18"/>
                <w:szCs w:val="18"/>
              </w:rPr>
            </w:pPr>
            <w:r w:rsidRPr="0088614A">
              <w:rPr>
                <w:rFonts w:cs="Arial"/>
                <w:sz w:val="18"/>
                <w:szCs w:val="18"/>
              </w:rPr>
              <w:t>Level 2</w:t>
            </w:r>
          </w:p>
          <w:p w:rsidR="0088614A" w:rsidRPr="0088614A" w:rsidRDefault="0088614A" w:rsidP="00704CC0">
            <w:pPr>
              <w:keepNext/>
              <w:keepLines/>
              <w:tabs>
                <w:tab w:val="left" w:pos="567"/>
                <w:tab w:val="left" w:pos="1134"/>
                <w:tab w:val="left" w:pos="1701"/>
                <w:tab w:val="left" w:pos="2268"/>
              </w:tabs>
              <w:jc w:val="right"/>
              <w:rPr>
                <w:rFonts w:cs="Arial"/>
                <w:sz w:val="18"/>
                <w:szCs w:val="18"/>
              </w:rPr>
            </w:pPr>
            <w:r w:rsidRPr="0088614A">
              <w:rPr>
                <w:rFonts w:cs="Arial"/>
                <w:bCs/>
                <w:sz w:val="18"/>
                <w:szCs w:val="18"/>
              </w:rPr>
              <w:t>£'000</w:t>
            </w:r>
          </w:p>
        </w:tc>
        <w:tc>
          <w:tcPr>
            <w:tcW w:w="581" w:type="pct"/>
            <w:vAlign w:val="bottom"/>
          </w:tcPr>
          <w:p w:rsidR="0088614A" w:rsidRPr="0088614A" w:rsidRDefault="0088614A" w:rsidP="00704CC0">
            <w:pPr>
              <w:keepNext/>
              <w:keepLines/>
              <w:tabs>
                <w:tab w:val="left" w:pos="567"/>
                <w:tab w:val="left" w:pos="1134"/>
                <w:tab w:val="left" w:pos="1701"/>
                <w:tab w:val="left" w:pos="2268"/>
              </w:tabs>
              <w:jc w:val="right"/>
              <w:rPr>
                <w:rFonts w:cs="Arial"/>
                <w:sz w:val="18"/>
                <w:szCs w:val="18"/>
              </w:rPr>
            </w:pPr>
            <w:r w:rsidRPr="0088614A">
              <w:rPr>
                <w:rFonts w:cs="Arial"/>
                <w:sz w:val="18"/>
                <w:szCs w:val="18"/>
              </w:rPr>
              <w:t>Level 3</w:t>
            </w:r>
          </w:p>
          <w:p w:rsidR="0088614A" w:rsidRPr="0088614A" w:rsidRDefault="0088614A" w:rsidP="00704CC0">
            <w:pPr>
              <w:keepNext/>
              <w:keepLines/>
              <w:tabs>
                <w:tab w:val="left" w:pos="567"/>
                <w:tab w:val="left" w:pos="1134"/>
                <w:tab w:val="left" w:pos="1701"/>
                <w:tab w:val="left" w:pos="2268"/>
              </w:tabs>
              <w:jc w:val="right"/>
              <w:rPr>
                <w:rFonts w:cs="Arial"/>
                <w:sz w:val="18"/>
                <w:szCs w:val="18"/>
              </w:rPr>
            </w:pPr>
            <w:r w:rsidRPr="0088614A">
              <w:rPr>
                <w:rFonts w:cs="Arial"/>
                <w:bCs/>
                <w:sz w:val="18"/>
                <w:szCs w:val="18"/>
              </w:rPr>
              <w:t>£'000</w:t>
            </w:r>
          </w:p>
        </w:tc>
        <w:tc>
          <w:tcPr>
            <w:tcW w:w="580" w:type="pct"/>
            <w:vAlign w:val="bottom"/>
          </w:tcPr>
          <w:p w:rsidR="0088614A" w:rsidRPr="0088614A" w:rsidRDefault="0088614A" w:rsidP="00704CC0">
            <w:pPr>
              <w:keepNext/>
              <w:keepLines/>
              <w:tabs>
                <w:tab w:val="left" w:pos="567"/>
                <w:tab w:val="left" w:pos="1134"/>
                <w:tab w:val="left" w:pos="1701"/>
                <w:tab w:val="left" w:pos="2268"/>
              </w:tabs>
              <w:jc w:val="right"/>
              <w:rPr>
                <w:rFonts w:cs="Arial"/>
                <w:sz w:val="18"/>
                <w:szCs w:val="18"/>
              </w:rPr>
            </w:pPr>
            <w:r w:rsidRPr="0088614A">
              <w:rPr>
                <w:rFonts w:cs="Arial"/>
                <w:sz w:val="18"/>
                <w:szCs w:val="18"/>
              </w:rPr>
              <w:t>Total</w:t>
            </w:r>
          </w:p>
          <w:p w:rsidR="0088614A" w:rsidRPr="0088614A" w:rsidRDefault="0088614A" w:rsidP="00704CC0">
            <w:pPr>
              <w:keepNext/>
              <w:keepLines/>
              <w:tabs>
                <w:tab w:val="left" w:pos="567"/>
                <w:tab w:val="left" w:pos="1134"/>
                <w:tab w:val="left" w:pos="1701"/>
                <w:tab w:val="left" w:pos="2268"/>
              </w:tabs>
              <w:jc w:val="right"/>
              <w:rPr>
                <w:rFonts w:cs="Arial"/>
                <w:sz w:val="18"/>
                <w:szCs w:val="18"/>
              </w:rPr>
            </w:pPr>
            <w:r w:rsidRPr="0088614A">
              <w:rPr>
                <w:rFonts w:cs="Arial"/>
                <w:bCs/>
                <w:sz w:val="18"/>
                <w:szCs w:val="18"/>
              </w:rPr>
              <w:t>£'000</w:t>
            </w:r>
          </w:p>
        </w:tc>
      </w:tr>
      <w:tr w:rsidR="00A77160" w:rsidRPr="00A76890" w:rsidTr="0088614A">
        <w:trPr>
          <w:trHeight w:val="20"/>
        </w:trPr>
        <w:tc>
          <w:tcPr>
            <w:tcW w:w="2096" w:type="pct"/>
          </w:tcPr>
          <w:p w:rsidR="00A77160" w:rsidRPr="00A77160" w:rsidRDefault="00A77160" w:rsidP="00704CC0">
            <w:pPr>
              <w:keepNext/>
              <w:keepLines/>
              <w:tabs>
                <w:tab w:val="left" w:pos="567"/>
                <w:tab w:val="left" w:pos="1134"/>
                <w:tab w:val="left" w:pos="1701"/>
                <w:tab w:val="left" w:pos="2268"/>
              </w:tabs>
              <w:ind w:left="567"/>
              <w:rPr>
                <w:rFonts w:cs="Arial"/>
                <w:sz w:val="18"/>
                <w:szCs w:val="18"/>
              </w:rPr>
            </w:pPr>
            <w:r w:rsidRPr="00A77160">
              <w:rPr>
                <w:rFonts w:cs="Arial"/>
                <w:sz w:val="18"/>
                <w:szCs w:val="18"/>
              </w:rPr>
              <w:t>Assets:</w:t>
            </w:r>
          </w:p>
        </w:tc>
        <w:tc>
          <w:tcPr>
            <w:tcW w:w="581" w:type="pct"/>
            <w:vAlign w:val="bottom"/>
          </w:tcPr>
          <w:p w:rsidR="00A77160" w:rsidRPr="00A77160" w:rsidRDefault="00A77160" w:rsidP="00704CC0">
            <w:pPr>
              <w:keepNext/>
              <w:keepLines/>
              <w:tabs>
                <w:tab w:val="left" w:pos="567"/>
                <w:tab w:val="left" w:pos="1134"/>
                <w:tab w:val="left" w:pos="1701"/>
                <w:tab w:val="left" w:pos="2268"/>
              </w:tabs>
              <w:rPr>
                <w:rFonts w:cs="Arial"/>
                <w:sz w:val="18"/>
                <w:szCs w:val="18"/>
              </w:rPr>
            </w:pPr>
          </w:p>
        </w:tc>
        <w:tc>
          <w:tcPr>
            <w:tcW w:w="581" w:type="pct"/>
          </w:tcPr>
          <w:p w:rsidR="00A77160" w:rsidRPr="00A77160" w:rsidRDefault="00A77160" w:rsidP="00704CC0">
            <w:pPr>
              <w:keepNext/>
              <w:keepLines/>
              <w:tabs>
                <w:tab w:val="left" w:pos="567"/>
                <w:tab w:val="left" w:pos="1134"/>
                <w:tab w:val="left" w:pos="1701"/>
                <w:tab w:val="left" w:pos="2268"/>
              </w:tabs>
              <w:jc w:val="right"/>
              <w:rPr>
                <w:rFonts w:cs="Arial"/>
                <w:sz w:val="18"/>
                <w:szCs w:val="18"/>
              </w:rPr>
            </w:pPr>
          </w:p>
        </w:tc>
        <w:tc>
          <w:tcPr>
            <w:tcW w:w="581" w:type="pct"/>
          </w:tcPr>
          <w:p w:rsidR="00A77160" w:rsidRPr="00A77160" w:rsidRDefault="00A77160" w:rsidP="00704CC0">
            <w:pPr>
              <w:keepNext/>
              <w:keepLines/>
              <w:tabs>
                <w:tab w:val="left" w:pos="567"/>
                <w:tab w:val="left" w:pos="1134"/>
                <w:tab w:val="left" w:pos="1701"/>
                <w:tab w:val="left" w:pos="2268"/>
              </w:tabs>
              <w:jc w:val="right"/>
              <w:rPr>
                <w:rFonts w:cs="Arial"/>
                <w:sz w:val="18"/>
                <w:szCs w:val="18"/>
              </w:rPr>
            </w:pPr>
          </w:p>
        </w:tc>
        <w:tc>
          <w:tcPr>
            <w:tcW w:w="581" w:type="pct"/>
          </w:tcPr>
          <w:p w:rsidR="00A77160" w:rsidRPr="00A77160" w:rsidRDefault="00A77160" w:rsidP="00704CC0">
            <w:pPr>
              <w:keepNext/>
              <w:keepLines/>
              <w:tabs>
                <w:tab w:val="left" w:pos="567"/>
                <w:tab w:val="left" w:pos="1134"/>
                <w:tab w:val="left" w:pos="1701"/>
                <w:tab w:val="left" w:pos="2268"/>
              </w:tabs>
              <w:jc w:val="right"/>
              <w:rPr>
                <w:rFonts w:cs="Arial"/>
                <w:sz w:val="18"/>
                <w:szCs w:val="18"/>
              </w:rPr>
            </w:pPr>
          </w:p>
        </w:tc>
        <w:tc>
          <w:tcPr>
            <w:tcW w:w="580" w:type="pct"/>
          </w:tcPr>
          <w:p w:rsidR="00A77160" w:rsidRPr="00A77160" w:rsidRDefault="00A77160" w:rsidP="00704CC0">
            <w:pPr>
              <w:keepNext/>
              <w:keepLines/>
              <w:tabs>
                <w:tab w:val="left" w:pos="567"/>
                <w:tab w:val="left" w:pos="1134"/>
                <w:tab w:val="left" w:pos="1701"/>
                <w:tab w:val="left" w:pos="2268"/>
              </w:tabs>
              <w:jc w:val="right"/>
              <w:rPr>
                <w:rFonts w:cs="Arial"/>
                <w:sz w:val="18"/>
                <w:szCs w:val="18"/>
              </w:rPr>
            </w:pPr>
          </w:p>
        </w:tc>
      </w:tr>
      <w:tr w:rsidR="00A77160" w:rsidRPr="00A76890" w:rsidTr="0088614A">
        <w:trPr>
          <w:trHeight w:val="20"/>
        </w:trPr>
        <w:tc>
          <w:tcPr>
            <w:tcW w:w="2096" w:type="pct"/>
          </w:tcPr>
          <w:p w:rsidR="00A77160" w:rsidRPr="00A77160" w:rsidRDefault="00A77160" w:rsidP="00704CC0">
            <w:pPr>
              <w:keepNext/>
              <w:keepLines/>
              <w:tabs>
                <w:tab w:val="left" w:pos="567"/>
                <w:tab w:val="left" w:pos="1134"/>
                <w:tab w:val="left" w:pos="1701"/>
                <w:tab w:val="left" w:pos="2268"/>
              </w:tabs>
              <w:ind w:left="567"/>
              <w:rPr>
                <w:rFonts w:cs="Arial"/>
                <w:sz w:val="18"/>
                <w:szCs w:val="18"/>
              </w:rPr>
            </w:pPr>
            <w:r w:rsidRPr="00A77160">
              <w:rPr>
                <w:rFonts w:cs="Arial"/>
                <w:sz w:val="18"/>
                <w:szCs w:val="18"/>
              </w:rPr>
              <w:t>Listed securities</w:t>
            </w:r>
          </w:p>
        </w:tc>
        <w:tc>
          <w:tcPr>
            <w:tcW w:w="581" w:type="pct"/>
            <w:vAlign w:val="bottom"/>
          </w:tcPr>
          <w:p w:rsidR="00A77160" w:rsidRPr="00A77160" w:rsidRDefault="00A77160" w:rsidP="00704CC0">
            <w:pPr>
              <w:keepNext/>
              <w:keepLines/>
              <w:tabs>
                <w:tab w:val="left" w:pos="567"/>
                <w:tab w:val="left" w:pos="1134"/>
                <w:tab w:val="left" w:pos="1701"/>
                <w:tab w:val="left" w:pos="2268"/>
              </w:tabs>
              <w:rPr>
                <w:rFonts w:cs="Arial"/>
                <w:sz w:val="18"/>
                <w:szCs w:val="18"/>
              </w:rPr>
            </w:pPr>
            <w:r w:rsidRPr="00A77160">
              <w:rPr>
                <w:rFonts w:cs="Arial"/>
                <w:sz w:val="18"/>
                <w:szCs w:val="18"/>
              </w:rPr>
              <w:t>14</w:t>
            </w:r>
          </w:p>
        </w:tc>
        <w:tc>
          <w:tcPr>
            <w:tcW w:w="581" w:type="pct"/>
          </w:tcPr>
          <w:p w:rsidR="00A77160" w:rsidRPr="00A77160" w:rsidRDefault="00A77160" w:rsidP="00704CC0">
            <w:pPr>
              <w:keepNext/>
              <w:keepLines/>
              <w:tabs>
                <w:tab w:val="left" w:pos="567"/>
                <w:tab w:val="left" w:pos="1134"/>
                <w:tab w:val="left" w:pos="1701"/>
                <w:tab w:val="left" w:pos="2268"/>
              </w:tabs>
              <w:jc w:val="right"/>
              <w:rPr>
                <w:rFonts w:cs="Arial"/>
                <w:sz w:val="18"/>
                <w:szCs w:val="18"/>
              </w:rPr>
            </w:pPr>
            <w:r w:rsidRPr="00A77160">
              <w:rPr>
                <w:rFonts w:cs="Arial"/>
                <w:sz w:val="18"/>
                <w:szCs w:val="18"/>
              </w:rPr>
              <w:t>7,080</w:t>
            </w:r>
          </w:p>
        </w:tc>
        <w:tc>
          <w:tcPr>
            <w:tcW w:w="581" w:type="pct"/>
          </w:tcPr>
          <w:p w:rsidR="00A77160" w:rsidRPr="00A77160" w:rsidRDefault="00A77160" w:rsidP="00704CC0">
            <w:pPr>
              <w:keepNext/>
              <w:keepLines/>
              <w:tabs>
                <w:tab w:val="left" w:pos="567"/>
                <w:tab w:val="left" w:pos="1134"/>
                <w:tab w:val="left" w:pos="1701"/>
                <w:tab w:val="left" w:pos="2268"/>
              </w:tabs>
              <w:jc w:val="right"/>
              <w:rPr>
                <w:rFonts w:cs="Arial"/>
                <w:sz w:val="18"/>
                <w:szCs w:val="18"/>
              </w:rPr>
            </w:pPr>
            <w:r w:rsidRPr="00A77160">
              <w:rPr>
                <w:rFonts w:cs="Arial"/>
                <w:sz w:val="18"/>
                <w:szCs w:val="18"/>
              </w:rPr>
              <w:t>-</w:t>
            </w:r>
          </w:p>
        </w:tc>
        <w:tc>
          <w:tcPr>
            <w:tcW w:w="581" w:type="pct"/>
          </w:tcPr>
          <w:p w:rsidR="00A77160" w:rsidRPr="00A77160" w:rsidRDefault="00A77160" w:rsidP="00704CC0">
            <w:pPr>
              <w:keepNext/>
              <w:keepLines/>
              <w:tabs>
                <w:tab w:val="left" w:pos="567"/>
                <w:tab w:val="left" w:pos="1134"/>
                <w:tab w:val="left" w:pos="1701"/>
                <w:tab w:val="left" w:pos="2268"/>
              </w:tabs>
              <w:jc w:val="right"/>
              <w:rPr>
                <w:rFonts w:cs="Arial"/>
                <w:sz w:val="18"/>
                <w:szCs w:val="18"/>
              </w:rPr>
            </w:pPr>
            <w:r w:rsidRPr="00A77160">
              <w:rPr>
                <w:rFonts w:cs="Arial"/>
                <w:sz w:val="18"/>
                <w:szCs w:val="18"/>
              </w:rPr>
              <w:t>-</w:t>
            </w:r>
          </w:p>
        </w:tc>
        <w:tc>
          <w:tcPr>
            <w:tcW w:w="580" w:type="pct"/>
          </w:tcPr>
          <w:p w:rsidR="00A77160" w:rsidRPr="00A77160" w:rsidRDefault="00A77160" w:rsidP="00704CC0">
            <w:pPr>
              <w:keepNext/>
              <w:keepLines/>
              <w:tabs>
                <w:tab w:val="left" w:pos="567"/>
                <w:tab w:val="left" w:pos="1134"/>
                <w:tab w:val="left" w:pos="1701"/>
                <w:tab w:val="left" w:pos="2268"/>
              </w:tabs>
              <w:jc w:val="right"/>
              <w:rPr>
                <w:rFonts w:cs="Arial"/>
                <w:sz w:val="18"/>
                <w:szCs w:val="18"/>
              </w:rPr>
            </w:pPr>
            <w:r w:rsidRPr="00A77160">
              <w:rPr>
                <w:rFonts w:cs="Arial"/>
                <w:sz w:val="18"/>
                <w:szCs w:val="18"/>
              </w:rPr>
              <w:t>7,080</w:t>
            </w:r>
          </w:p>
        </w:tc>
      </w:tr>
      <w:tr w:rsidR="00A77160" w:rsidRPr="00A76890" w:rsidTr="0088614A">
        <w:trPr>
          <w:trHeight w:val="20"/>
        </w:trPr>
        <w:tc>
          <w:tcPr>
            <w:tcW w:w="2096" w:type="pct"/>
          </w:tcPr>
          <w:p w:rsidR="00A77160" w:rsidRPr="00A77160" w:rsidRDefault="00A77160" w:rsidP="00704CC0">
            <w:pPr>
              <w:keepNext/>
              <w:keepLines/>
              <w:tabs>
                <w:tab w:val="left" w:pos="567"/>
                <w:tab w:val="left" w:pos="1134"/>
                <w:tab w:val="left" w:pos="1701"/>
                <w:tab w:val="left" w:pos="2268"/>
              </w:tabs>
              <w:ind w:left="567"/>
              <w:rPr>
                <w:rFonts w:cs="Arial"/>
                <w:sz w:val="18"/>
                <w:szCs w:val="18"/>
              </w:rPr>
            </w:pPr>
            <w:r w:rsidRPr="00A77160">
              <w:rPr>
                <w:rFonts w:cs="Arial"/>
                <w:sz w:val="18"/>
                <w:szCs w:val="18"/>
              </w:rPr>
              <w:t>Unlisted securities</w:t>
            </w:r>
          </w:p>
        </w:tc>
        <w:tc>
          <w:tcPr>
            <w:tcW w:w="581" w:type="pct"/>
            <w:vAlign w:val="bottom"/>
          </w:tcPr>
          <w:p w:rsidR="00A77160" w:rsidRPr="00A77160" w:rsidRDefault="00A77160" w:rsidP="00704CC0">
            <w:pPr>
              <w:keepNext/>
              <w:keepLines/>
              <w:tabs>
                <w:tab w:val="left" w:pos="567"/>
                <w:tab w:val="left" w:pos="1134"/>
                <w:tab w:val="left" w:pos="1701"/>
                <w:tab w:val="left" w:pos="2268"/>
              </w:tabs>
              <w:rPr>
                <w:rFonts w:cs="Arial"/>
                <w:sz w:val="18"/>
                <w:szCs w:val="18"/>
              </w:rPr>
            </w:pPr>
            <w:r w:rsidRPr="00A77160">
              <w:rPr>
                <w:rFonts w:cs="Arial"/>
                <w:sz w:val="18"/>
                <w:szCs w:val="18"/>
              </w:rPr>
              <w:t>14</w:t>
            </w:r>
          </w:p>
        </w:tc>
        <w:tc>
          <w:tcPr>
            <w:tcW w:w="581" w:type="pct"/>
          </w:tcPr>
          <w:p w:rsidR="00A77160" w:rsidRPr="00A77160" w:rsidRDefault="00A77160" w:rsidP="00704CC0">
            <w:pPr>
              <w:keepNext/>
              <w:keepLines/>
              <w:tabs>
                <w:tab w:val="left" w:pos="567"/>
                <w:tab w:val="left" w:pos="1134"/>
                <w:tab w:val="left" w:pos="1701"/>
                <w:tab w:val="left" w:pos="2268"/>
              </w:tabs>
              <w:jc w:val="right"/>
              <w:rPr>
                <w:rFonts w:cs="Arial"/>
                <w:sz w:val="18"/>
                <w:szCs w:val="18"/>
              </w:rPr>
            </w:pPr>
            <w:r w:rsidRPr="00A77160">
              <w:rPr>
                <w:rFonts w:cs="Arial"/>
                <w:sz w:val="18"/>
                <w:szCs w:val="18"/>
              </w:rPr>
              <w:t>-</w:t>
            </w:r>
          </w:p>
        </w:tc>
        <w:tc>
          <w:tcPr>
            <w:tcW w:w="581" w:type="pct"/>
          </w:tcPr>
          <w:p w:rsidR="00A77160" w:rsidRPr="00A77160" w:rsidRDefault="00A77160" w:rsidP="00704CC0">
            <w:pPr>
              <w:keepNext/>
              <w:keepLines/>
              <w:tabs>
                <w:tab w:val="left" w:pos="567"/>
                <w:tab w:val="left" w:pos="1134"/>
                <w:tab w:val="left" w:pos="1701"/>
                <w:tab w:val="left" w:pos="2268"/>
              </w:tabs>
              <w:jc w:val="right"/>
              <w:rPr>
                <w:rFonts w:cs="Arial"/>
                <w:sz w:val="18"/>
                <w:szCs w:val="18"/>
              </w:rPr>
            </w:pPr>
            <w:r w:rsidRPr="00A77160">
              <w:rPr>
                <w:rFonts w:cs="Arial"/>
                <w:sz w:val="18"/>
                <w:szCs w:val="18"/>
              </w:rPr>
              <w:t>-</w:t>
            </w:r>
          </w:p>
        </w:tc>
        <w:tc>
          <w:tcPr>
            <w:tcW w:w="581" w:type="pct"/>
            <w:vAlign w:val="bottom"/>
          </w:tcPr>
          <w:p w:rsidR="00A77160" w:rsidRPr="00A77160" w:rsidRDefault="00A77160" w:rsidP="00704CC0">
            <w:pPr>
              <w:keepNext/>
              <w:keepLines/>
              <w:tabs>
                <w:tab w:val="left" w:pos="567"/>
                <w:tab w:val="left" w:pos="1134"/>
                <w:tab w:val="left" w:pos="1701"/>
                <w:tab w:val="left" w:pos="2268"/>
              </w:tabs>
              <w:jc w:val="right"/>
              <w:rPr>
                <w:rFonts w:cs="Arial"/>
                <w:sz w:val="18"/>
                <w:szCs w:val="18"/>
              </w:rPr>
            </w:pPr>
            <w:r w:rsidRPr="00A77160">
              <w:rPr>
                <w:rFonts w:cs="Arial"/>
                <w:sz w:val="18"/>
                <w:szCs w:val="18"/>
              </w:rPr>
              <w:t>10,395</w:t>
            </w:r>
          </w:p>
        </w:tc>
        <w:tc>
          <w:tcPr>
            <w:tcW w:w="580" w:type="pct"/>
            <w:vAlign w:val="bottom"/>
          </w:tcPr>
          <w:p w:rsidR="00A77160" w:rsidRPr="00A77160" w:rsidRDefault="00A77160" w:rsidP="00704CC0">
            <w:pPr>
              <w:keepNext/>
              <w:keepLines/>
              <w:tabs>
                <w:tab w:val="left" w:pos="567"/>
                <w:tab w:val="left" w:pos="1134"/>
                <w:tab w:val="left" w:pos="1701"/>
                <w:tab w:val="left" w:pos="2268"/>
              </w:tabs>
              <w:jc w:val="right"/>
              <w:rPr>
                <w:rFonts w:cs="Arial"/>
                <w:sz w:val="18"/>
                <w:szCs w:val="18"/>
              </w:rPr>
            </w:pPr>
            <w:r w:rsidRPr="00A77160">
              <w:rPr>
                <w:rFonts w:cs="Arial"/>
                <w:sz w:val="18"/>
                <w:szCs w:val="18"/>
              </w:rPr>
              <w:t>10,395</w:t>
            </w:r>
          </w:p>
        </w:tc>
      </w:tr>
      <w:tr w:rsidR="00A77160" w:rsidRPr="00A76890" w:rsidTr="0088614A">
        <w:trPr>
          <w:trHeight w:val="20"/>
        </w:trPr>
        <w:tc>
          <w:tcPr>
            <w:tcW w:w="2096" w:type="pct"/>
          </w:tcPr>
          <w:p w:rsidR="00A77160" w:rsidRPr="00A77160" w:rsidRDefault="00A77160" w:rsidP="00704CC0">
            <w:pPr>
              <w:keepNext/>
              <w:keepLines/>
              <w:tabs>
                <w:tab w:val="left" w:pos="567"/>
                <w:tab w:val="left" w:pos="1134"/>
                <w:tab w:val="left" w:pos="1701"/>
                <w:tab w:val="left" w:pos="2268"/>
              </w:tabs>
              <w:autoSpaceDE w:val="0"/>
              <w:autoSpaceDN w:val="0"/>
              <w:adjustRightInd w:val="0"/>
              <w:ind w:left="567"/>
              <w:rPr>
                <w:rFonts w:cs="Arial"/>
                <w:sz w:val="18"/>
                <w:szCs w:val="18"/>
              </w:rPr>
            </w:pPr>
            <w:r w:rsidRPr="00A77160">
              <w:rPr>
                <w:rFonts w:cs="Arial"/>
                <w:bCs/>
                <w:sz w:val="18"/>
                <w:szCs w:val="18"/>
              </w:rPr>
              <w:t>Total</w:t>
            </w:r>
          </w:p>
        </w:tc>
        <w:tc>
          <w:tcPr>
            <w:tcW w:w="581" w:type="pct"/>
            <w:vAlign w:val="bottom"/>
          </w:tcPr>
          <w:p w:rsidR="00A77160" w:rsidRPr="00A77160" w:rsidRDefault="00A77160" w:rsidP="00704CC0">
            <w:pPr>
              <w:keepNext/>
              <w:keepLines/>
              <w:tabs>
                <w:tab w:val="left" w:pos="567"/>
                <w:tab w:val="left" w:pos="1134"/>
                <w:tab w:val="left" w:pos="1701"/>
                <w:tab w:val="left" w:pos="2268"/>
              </w:tabs>
              <w:rPr>
                <w:rFonts w:cs="Arial"/>
                <w:sz w:val="18"/>
                <w:szCs w:val="18"/>
              </w:rPr>
            </w:pPr>
          </w:p>
        </w:tc>
        <w:tc>
          <w:tcPr>
            <w:tcW w:w="581" w:type="pct"/>
            <w:tcBorders>
              <w:top w:val="single" w:sz="4" w:space="0" w:color="auto"/>
            </w:tcBorders>
            <w:vAlign w:val="bottom"/>
          </w:tcPr>
          <w:p w:rsidR="00A77160" w:rsidRPr="00A77160" w:rsidRDefault="00A77160" w:rsidP="00704CC0">
            <w:pPr>
              <w:keepNext/>
              <w:keepLines/>
              <w:tabs>
                <w:tab w:val="left" w:pos="567"/>
                <w:tab w:val="left" w:pos="1134"/>
                <w:tab w:val="left" w:pos="1701"/>
                <w:tab w:val="left" w:pos="2268"/>
              </w:tabs>
              <w:jc w:val="right"/>
              <w:rPr>
                <w:rFonts w:cs="Arial"/>
                <w:sz w:val="18"/>
                <w:szCs w:val="18"/>
              </w:rPr>
            </w:pPr>
            <w:r w:rsidRPr="00A77160">
              <w:rPr>
                <w:rFonts w:cs="Arial"/>
                <w:sz w:val="18"/>
                <w:szCs w:val="18"/>
              </w:rPr>
              <w:t>7,080</w:t>
            </w:r>
          </w:p>
        </w:tc>
        <w:tc>
          <w:tcPr>
            <w:tcW w:w="581" w:type="pct"/>
            <w:tcBorders>
              <w:top w:val="single" w:sz="4" w:space="0" w:color="auto"/>
            </w:tcBorders>
          </w:tcPr>
          <w:p w:rsidR="00A77160" w:rsidRPr="00A77160" w:rsidRDefault="00A77160" w:rsidP="00704CC0">
            <w:pPr>
              <w:keepNext/>
              <w:keepLines/>
              <w:tabs>
                <w:tab w:val="left" w:pos="567"/>
                <w:tab w:val="left" w:pos="1134"/>
                <w:tab w:val="left" w:pos="1701"/>
                <w:tab w:val="left" w:pos="2268"/>
              </w:tabs>
              <w:jc w:val="right"/>
              <w:rPr>
                <w:rFonts w:cs="Arial"/>
                <w:sz w:val="18"/>
                <w:szCs w:val="18"/>
              </w:rPr>
            </w:pPr>
            <w:r w:rsidRPr="00A77160">
              <w:rPr>
                <w:rFonts w:cs="Arial"/>
                <w:sz w:val="18"/>
                <w:szCs w:val="18"/>
              </w:rPr>
              <w:t>-</w:t>
            </w:r>
          </w:p>
        </w:tc>
        <w:tc>
          <w:tcPr>
            <w:tcW w:w="581" w:type="pct"/>
            <w:tcBorders>
              <w:top w:val="single" w:sz="4" w:space="0" w:color="auto"/>
            </w:tcBorders>
            <w:vAlign w:val="bottom"/>
          </w:tcPr>
          <w:p w:rsidR="00A77160" w:rsidRPr="00A77160" w:rsidRDefault="00A77160" w:rsidP="00704CC0">
            <w:pPr>
              <w:keepNext/>
              <w:keepLines/>
              <w:tabs>
                <w:tab w:val="left" w:pos="567"/>
                <w:tab w:val="left" w:pos="1134"/>
                <w:tab w:val="left" w:pos="1701"/>
                <w:tab w:val="left" w:pos="2268"/>
              </w:tabs>
              <w:jc w:val="right"/>
              <w:rPr>
                <w:rFonts w:cs="Arial"/>
                <w:sz w:val="18"/>
                <w:szCs w:val="18"/>
              </w:rPr>
            </w:pPr>
            <w:r w:rsidRPr="00A77160">
              <w:rPr>
                <w:rFonts w:cs="Arial"/>
                <w:sz w:val="18"/>
                <w:szCs w:val="18"/>
              </w:rPr>
              <w:t>10,395</w:t>
            </w:r>
          </w:p>
        </w:tc>
        <w:tc>
          <w:tcPr>
            <w:tcW w:w="580" w:type="pct"/>
            <w:tcBorders>
              <w:top w:val="single" w:sz="4" w:space="0" w:color="auto"/>
            </w:tcBorders>
            <w:vAlign w:val="bottom"/>
          </w:tcPr>
          <w:p w:rsidR="00A77160" w:rsidRPr="00A77160" w:rsidRDefault="00A77160" w:rsidP="00704CC0">
            <w:pPr>
              <w:keepNext/>
              <w:keepLines/>
              <w:tabs>
                <w:tab w:val="left" w:pos="567"/>
                <w:tab w:val="left" w:pos="1134"/>
                <w:tab w:val="left" w:pos="1701"/>
                <w:tab w:val="left" w:pos="2268"/>
              </w:tabs>
              <w:jc w:val="right"/>
              <w:rPr>
                <w:rFonts w:cs="Arial"/>
                <w:sz w:val="18"/>
                <w:szCs w:val="18"/>
              </w:rPr>
            </w:pPr>
            <w:r w:rsidRPr="00A77160">
              <w:rPr>
                <w:rFonts w:cs="Arial"/>
                <w:sz w:val="18"/>
                <w:szCs w:val="18"/>
              </w:rPr>
              <w:t>17,475</w:t>
            </w:r>
          </w:p>
        </w:tc>
      </w:tr>
      <w:tr w:rsidR="00A77160" w:rsidRPr="00A76890" w:rsidTr="0088614A">
        <w:trPr>
          <w:trHeight w:val="20"/>
        </w:trPr>
        <w:tc>
          <w:tcPr>
            <w:tcW w:w="2096" w:type="pct"/>
          </w:tcPr>
          <w:p w:rsidR="00A77160" w:rsidRPr="00A77160" w:rsidRDefault="00A77160" w:rsidP="00704CC0">
            <w:pPr>
              <w:keepNext/>
              <w:keepLines/>
              <w:tabs>
                <w:tab w:val="left" w:pos="567"/>
                <w:tab w:val="left" w:pos="1134"/>
                <w:tab w:val="left" w:pos="1701"/>
                <w:tab w:val="left" w:pos="2268"/>
              </w:tabs>
              <w:autoSpaceDE w:val="0"/>
              <w:autoSpaceDN w:val="0"/>
              <w:adjustRightInd w:val="0"/>
              <w:ind w:left="567"/>
              <w:rPr>
                <w:rFonts w:cs="Arial"/>
                <w:bCs/>
                <w:sz w:val="18"/>
                <w:szCs w:val="18"/>
              </w:rPr>
            </w:pPr>
            <w:r w:rsidRPr="00A77160">
              <w:rPr>
                <w:rFonts w:cs="Arial"/>
                <w:bCs/>
                <w:sz w:val="18"/>
                <w:szCs w:val="18"/>
              </w:rPr>
              <w:t>Liabilities</w:t>
            </w:r>
          </w:p>
        </w:tc>
        <w:tc>
          <w:tcPr>
            <w:tcW w:w="581" w:type="pct"/>
            <w:vAlign w:val="bottom"/>
          </w:tcPr>
          <w:p w:rsidR="00A77160" w:rsidRPr="00A77160" w:rsidRDefault="00A77160" w:rsidP="00704CC0">
            <w:pPr>
              <w:keepNext/>
              <w:keepLines/>
              <w:tabs>
                <w:tab w:val="left" w:pos="567"/>
                <w:tab w:val="left" w:pos="1134"/>
                <w:tab w:val="left" w:pos="1701"/>
                <w:tab w:val="left" w:pos="2268"/>
              </w:tabs>
              <w:rPr>
                <w:rFonts w:cs="Arial"/>
                <w:sz w:val="18"/>
                <w:szCs w:val="18"/>
              </w:rPr>
            </w:pPr>
          </w:p>
        </w:tc>
        <w:tc>
          <w:tcPr>
            <w:tcW w:w="581" w:type="pct"/>
            <w:tcBorders>
              <w:bottom w:val="single" w:sz="4" w:space="0" w:color="auto"/>
            </w:tcBorders>
            <w:vAlign w:val="bottom"/>
          </w:tcPr>
          <w:p w:rsidR="00A77160" w:rsidRPr="00A77160" w:rsidRDefault="00A77160" w:rsidP="00704CC0">
            <w:pPr>
              <w:keepNext/>
              <w:keepLines/>
              <w:tabs>
                <w:tab w:val="left" w:pos="567"/>
                <w:tab w:val="left" w:pos="1134"/>
                <w:tab w:val="left" w:pos="1701"/>
                <w:tab w:val="left" w:pos="2268"/>
              </w:tabs>
              <w:jc w:val="right"/>
              <w:rPr>
                <w:rFonts w:cs="Arial"/>
                <w:sz w:val="18"/>
                <w:szCs w:val="18"/>
              </w:rPr>
            </w:pPr>
            <w:r w:rsidRPr="00A77160">
              <w:rPr>
                <w:rFonts w:cs="Arial"/>
                <w:sz w:val="18"/>
                <w:szCs w:val="18"/>
              </w:rPr>
              <w:t>-</w:t>
            </w:r>
          </w:p>
        </w:tc>
        <w:tc>
          <w:tcPr>
            <w:tcW w:w="581" w:type="pct"/>
            <w:tcBorders>
              <w:bottom w:val="single" w:sz="4" w:space="0" w:color="auto"/>
            </w:tcBorders>
            <w:vAlign w:val="bottom"/>
          </w:tcPr>
          <w:p w:rsidR="00A77160" w:rsidRPr="00A77160" w:rsidRDefault="00A77160" w:rsidP="00704CC0">
            <w:pPr>
              <w:keepNext/>
              <w:keepLines/>
              <w:tabs>
                <w:tab w:val="left" w:pos="567"/>
                <w:tab w:val="left" w:pos="1134"/>
                <w:tab w:val="left" w:pos="1701"/>
                <w:tab w:val="left" w:pos="2268"/>
              </w:tabs>
              <w:jc w:val="right"/>
              <w:rPr>
                <w:rFonts w:cs="Arial"/>
                <w:sz w:val="18"/>
                <w:szCs w:val="18"/>
              </w:rPr>
            </w:pPr>
            <w:r w:rsidRPr="00A77160">
              <w:rPr>
                <w:rFonts w:cs="Arial"/>
                <w:sz w:val="18"/>
                <w:szCs w:val="18"/>
              </w:rPr>
              <w:t>-</w:t>
            </w:r>
          </w:p>
        </w:tc>
        <w:tc>
          <w:tcPr>
            <w:tcW w:w="581" w:type="pct"/>
            <w:tcBorders>
              <w:bottom w:val="single" w:sz="4" w:space="0" w:color="auto"/>
            </w:tcBorders>
            <w:vAlign w:val="bottom"/>
          </w:tcPr>
          <w:p w:rsidR="00A77160" w:rsidRPr="00A77160" w:rsidRDefault="00A77160" w:rsidP="00704CC0">
            <w:pPr>
              <w:keepNext/>
              <w:keepLines/>
              <w:tabs>
                <w:tab w:val="left" w:pos="567"/>
                <w:tab w:val="left" w:pos="1134"/>
                <w:tab w:val="left" w:pos="1701"/>
                <w:tab w:val="left" w:pos="2268"/>
              </w:tabs>
              <w:jc w:val="right"/>
              <w:rPr>
                <w:rFonts w:cs="Arial"/>
                <w:sz w:val="18"/>
                <w:szCs w:val="18"/>
              </w:rPr>
            </w:pPr>
            <w:r w:rsidRPr="00A77160">
              <w:rPr>
                <w:rFonts w:cs="Arial"/>
                <w:sz w:val="18"/>
                <w:szCs w:val="18"/>
              </w:rPr>
              <w:t>-</w:t>
            </w:r>
          </w:p>
        </w:tc>
        <w:tc>
          <w:tcPr>
            <w:tcW w:w="580" w:type="pct"/>
            <w:tcBorders>
              <w:bottom w:val="single" w:sz="4" w:space="0" w:color="auto"/>
            </w:tcBorders>
            <w:vAlign w:val="bottom"/>
          </w:tcPr>
          <w:p w:rsidR="00A77160" w:rsidRPr="00A77160" w:rsidRDefault="00A77160" w:rsidP="00704CC0">
            <w:pPr>
              <w:keepNext/>
              <w:keepLines/>
              <w:tabs>
                <w:tab w:val="left" w:pos="567"/>
                <w:tab w:val="left" w:pos="1134"/>
                <w:tab w:val="left" w:pos="1701"/>
                <w:tab w:val="left" w:pos="2268"/>
              </w:tabs>
              <w:jc w:val="right"/>
              <w:rPr>
                <w:rFonts w:cs="Arial"/>
                <w:sz w:val="18"/>
                <w:szCs w:val="18"/>
              </w:rPr>
            </w:pPr>
            <w:r w:rsidRPr="00A77160">
              <w:rPr>
                <w:rFonts w:cs="Arial"/>
                <w:sz w:val="18"/>
                <w:szCs w:val="18"/>
              </w:rPr>
              <w:t>-</w:t>
            </w:r>
          </w:p>
        </w:tc>
      </w:tr>
      <w:tr w:rsidR="00A77160" w:rsidRPr="00A76890" w:rsidTr="0088614A">
        <w:trPr>
          <w:trHeight w:val="20"/>
        </w:trPr>
        <w:tc>
          <w:tcPr>
            <w:tcW w:w="2096" w:type="pct"/>
          </w:tcPr>
          <w:p w:rsidR="00A77160" w:rsidRPr="00A77160" w:rsidRDefault="00A77160" w:rsidP="00704CC0">
            <w:pPr>
              <w:tabs>
                <w:tab w:val="left" w:pos="567"/>
                <w:tab w:val="left" w:pos="1134"/>
                <w:tab w:val="left" w:pos="1701"/>
                <w:tab w:val="left" w:pos="2268"/>
              </w:tabs>
              <w:autoSpaceDE w:val="0"/>
              <w:autoSpaceDN w:val="0"/>
              <w:adjustRightInd w:val="0"/>
              <w:ind w:left="567"/>
              <w:rPr>
                <w:rFonts w:cs="Arial"/>
                <w:bCs/>
                <w:sz w:val="18"/>
                <w:szCs w:val="18"/>
              </w:rPr>
            </w:pPr>
            <w:r w:rsidRPr="00A77160">
              <w:rPr>
                <w:rFonts w:cs="Arial"/>
                <w:bCs/>
                <w:sz w:val="18"/>
                <w:szCs w:val="18"/>
              </w:rPr>
              <w:t>Net fair value</w:t>
            </w:r>
          </w:p>
        </w:tc>
        <w:tc>
          <w:tcPr>
            <w:tcW w:w="581" w:type="pct"/>
            <w:vAlign w:val="bottom"/>
          </w:tcPr>
          <w:p w:rsidR="00A77160" w:rsidRPr="00A77160" w:rsidRDefault="00A77160" w:rsidP="00704CC0">
            <w:pPr>
              <w:tabs>
                <w:tab w:val="left" w:pos="567"/>
                <w:tab w:val="left" w:pos="1134"/>
                <w:tab w:val="left" w:pos="1701"/>
                <w:tab w:val="left" w:pos="2268"/>
              </w:tabs>
              <w:rPr>
                <w:rFonts w:cs="Arial"/>
                <w:sz w:val="18"/>
                <w:szCs w:val="18"/>
              </w:rPr>
            </w:pPr>
          </w:p>
        </w:tc>
        <w:tc>
          <w:tcPr>
            <w:tcW w:w="581" w:type="pct"/>
            <w:tcBorders>
              <w:top w:val="single" w:sz="4" w:space="0" w:color="auto"/>
              <w:bottom w:val="single" w:sz="4" w:space="0" w:color="auto"/>
            </w:tcBorders>
            <w:vAlign w:val="bottom"/>
          </w:tcPr>
          <w:p w:rsidR="00A77160" w:rsidRPr="00A77160" w:rsidRDefault="00A77160" w:rsidP="00704CC0">
            <w:pPr>
              <w:tabs>
                <w:tab w:val="left" w:pos="567"/>
                <w:tab w:val="left" w:pos="1134"/>
                <w:tab w:val="left" w:pos="1701"/>
                <w:tab w:val="left" w:pos="2268"/>
              </w:tabs>
              <w:jc w:val="right"/>
              <w:rPr>
                <w:rFonts w:cs="Arial"/>
                <w:sz w:val="18"/>
                <w:szCs w:val="18"/>
              </w:rPr>
            </w:pPr>
            <w:r w:rsidRPr="00A77160">
              <w:rPr>
                <w:rFonts w:cs="Arial"/>
                <w:sz w:val="18"/>
                <w:szCs w:val="18"/>
              </w:rPr>
              <w:t>7,080</w:t>
            </w:r>
          </w:p>
        </w:tc>
        <w:tc>
          <w:tcPr>
            <w:tcW w:w="581" w:type="pct"/>
            <w:tcBorders>
              <w:top w:val="single" w:sz="4" w:space="0" w:color="auto"/>
              <w:bottom w:val="single" w:sz="4" w:space="0" w:color="auto"/>
            </w:tcBorders>
            <w:vAlign w:val="bottom"/>
          </w:tcPr>
          <w:p w:rsidR="00A77160" w:rsidRPr="00A77160" w:rsidRDefault="00A77160" w:rsidP="00704CC0">
            <w:pPr>
              <w:tabs>
                <w:tab w:val="left" w:pos="567"/>
                <w:tab w:val="left" w:pos="1134"/>
                <w:tab w:val="left" w:pos="1701"/>
                <w:tab w:val="left" w:pos="2268"/>
              </w:tabs>
              <w:jc w:val="right"/>
              <w:rPr>
                <w:rFonts w:cs="Arial"/>
                <w:color w:val="000000" w:themeColor="text1"/>
                <w:sz w:val="18"/>
                <w:szCs w:val="18"/>
              </w:rPr>
            </w:pPr>
            <w:r w:rsidRPr="00A77160">
              <w:rPr>
                <w:rFonts w:cs="Arial"/>
                <w:color w:val="000000" w:themeColor="text1"/>
                <w:sz w:val="18"/>
                <w:szCs w:val="18"/>
              </w:rPr>
              <w:t>-</w:t>
            </w:r>
          </w:p>
        </w:tc>
        <w:tc>
          <w:tcPr>
            <w:tcW w:w="581" w:type="pct"/>
            <w:tcBorders>
              <w:top w:val="single" w:sz="4" w:space="0" w:color="auto"/>
              <w:bottom w:val="single" w:sz="4" w:space="0" w:color="auto"/>
            </w:tcBorders>
            <w:vAlign w:val="bottom"/>
          </w:tcPr>
          <w:p w:rsidR="00A77160" w:rsidRPr="00A77160" w:rsidRDefault="00A77160" w:rsidP="00704CC0">
            <w:pPr>
              <w:tabs>
                <w:tab w:val="left" w:pos="567"/>
                <w:tab w:val="left" w:pos="1134"/>
                <w:tab w:val="left" w:pos="1701"/>
                <w:tab w:val="left" w:pos="2268"/>
              </w:tabs>
              <w:jc w:val="right"/>
              <w:rPr>
                <w:rFonts w:cs="Arial"/>
                <w:color w:val="000000" w:themeColor="text1"/>
                <w:sz w:val="18"/>
                <w:szCs w:val="18"/>
              </w:rPr>
            </w:pPr>
            <w:r w:rsidRPr="00A77160">
              <w:rPr>
                <w:rFonts w:cs="Arial"/>
                <w:color w:val="000000" w:themeColor="text1"/>
                <w:sz w:val="18"/>
                <w:szCs w:val="18"/>
              </w:rPr>
              <w:t>10,395</w:t>
            </w:r>
          </w:p>
        </w:tc>
        <w:tc>
          <w:tcPr>
            <w:tcW w:w="580" w:type="pct"/>
            <w:tcBorders>
              <w:top w:val="single" w:sz="4" w:space="0" w:color="auto"/>
              <w:bottom w:val="single" w:sz="4" w:space="0" w:color="auto"/>
            </w:tcBorders>
            <w:vAlign w:val="bottom"/>
          </w:tcPr>
          <w:p w:rsidR="00A77160" w:rsidRPr="00A77160" w:rsidRDefault="00A77160" w:rsidP="00704CC0">
            <w:pPr>
              <w:tabs>
                <w:tab w:val="left" w:pos="567"/>
                <w:tab w:val="left" w:pos="1134"/>
                <w:tab w:val="left" w:pos="1701"/>
                <w:tab w:val="left" w:pos="2268"/>
              </w:tabs>
              <w:jc w:val="right"/>
              <w:rPr>
                <w:rFonts w:cs="Arial"/>
                <w:sz w:val="18"/>
                <w:szCs w:val="18"/>
              </w:rPr>
            </w:pPr>
            <w:r w:rsidRPr="00A77160">
              <w:rPr>
                <w:rFonts w:cs="Arial"/>
                <w:sz w:val="18"/>
                <w:szCs w:val="18"/>
              </w:rPr>
              <w:t>17,475</w:t>
            </w:r>
          </w:p>
        </w:tc>
      </w:tr>
    </w:tbl>
    <w:p w:rsidR="0092140F" w:rsidRPr="00A76890" w:rsidRDefault="0092140F" w:rsidP="00704CC0">
      <w:pPr>
        <w:pStyle w:val="Heading3-Sub-para"/>
        <w:ind w:left="567"/>
      </w:pPr>
      <w:r w:rsidRPr="00A76890">
        <w:t>Measurement of fair value</w:t>
      </w:r>
    </w:p>
    <w:p w:rsidR="002A30E5" w:rsidRPr="00A76890" w:rsidRDefault="0092140F" w:rsidP="00704CC0">
      <w:pPr>
        <w:pStyle w:val="Normal3-Sub-para"/>
        <w:spacing w:line="240" w:lineRule="auto"/>
        <w:ind w:left="567"/>
      </w:pPr>
      <w:r w:rsidRPr="00A76890">
        <w:t>The methods and valuation techniques used for the purpose of measuring fair values are</w:t>
      </w:r>
      <w:r w:rsidR="004F0C62" w:rsidRPr="00A76890">
        <w:t xml:space="preserve"> given below:</w:t>
      </w:r>
    </w:p>
    <w:p w:rsidR="0092140F" w:rsidRPr="00A76890" w:rsidRDefault="0088614A" w:rsidP="00704CC0">
      <w:pPr>
        <w:pStyle w:val="Heading4-Sub-sub-para"/>
        <w:ind w:left="567"/>
      </w:pPr>
      <w:r>
        <w:t>(a)</w:t>
      </w:r>
      <w:r>
        <w:tab/>
      </w:r>
      <w:r w:rsidR="0092140F" w:rsidRPr="00A76890">
        <w:t>Listed securities:</w:t>
      </w:r>
    </w:p>
    <w:p w:rsidR="0092140F" w:rsidRPr="00A76890" w:rsidRDefault="0092140F" w:rsidP="00704CC0">
      <w:pPr>
        <w:pStyle w:val="Normal4-Sub-sub-para"/>
        <w:spacing w:line="240" w:lineRule="auto"/>
      </w:pPr>
      <w:r w:rsidRPr="00A76890">
        <w:t xml:space="preserve">All the quoted investments are denominated in </w:t>
      </w:r>
      <w:r w:rsidRPr="00A76890">
        <w:rPr>
          <w:i/>
        </w:rPr>
        <w:t xml:space="preserve">Indian </w:t>
      </w:r>
      <w:r w:rsidR="00BF5A40" w:rsidRPr="00A76890">
        <w:rPr>
          <w:i/>
        </w:rPr>
        <w:t>r</w:t>
      </w:r>
      <w:r w:rsidRPr="00A76890">
        <w:rPr>
          <w:i/>
        </w:rPr>
        <w:t>upees</w:t>
      </w:r>
      <w:r w:rsidRPr="00A76890">
        <w:t xml:space="preserve"> and are publicly traded on the NSE and BSE in India. Fair values have been determined and explained in note 14 above.</w:t>
      </w:r>
    </w:p>
    <w:p w:rsidR="0092140F" w:rsidRPr="00A76890" w:rsidRDefault="0088614A" w:rsidP="00704CC0">
      <w:pPr>
        <w:pStyle w:val="Heading4-Sub-sub-para"/>
        <w:ind w:left="567"/>
      </w:pPr>
      <w:r>
        <w:t>(b)</w:t>
      </w:r>
      <w:r>
        <w:tab/>
      </w:r>
      <w:r w:rsidR="0092140F" w:rsidRPr="00A76890">
        <w:t>Unlisted securities:</w:t>
      </w:r>
    </w:p>
    <w:p w:rsidR="0092140F" w:rsidRPr="00A76890" w:rsidRDefault="0092140F" w:rsidP="00704CC0">
      <w:pPr>
        <w:pStyle w:val="Normal4-Sub-sub-para"/>
        <w:spacing w:line="240" w:lineRule="auto"/>
      </w:pPr>
      <w:r w:rsidRPr="00A76890">
        <w:t>The Group’s unlisted investments have been valued in accordance with the methodology described in note 14 above.</w:t>
      </w:r>
    </w:p>
    <w:p w:rsidR="0092140F" w:rsidRPr="00A76890" w:rsidRDefault="0092140F" w:rsidP="00704CC0">
      <w:pPr>
        <w:pStyle w:val="Normal4-Sub-sub-para"/>
        <w:spacing w:line="240" w:lineRule="auto"/>
      </w:pPr>
      <w:r w:rsidRPr="00A76890">
        <w:t xml:space="preserve">In respect to investments appearing in </w:t>
      </w:r>
      <w:r w:rsidR="00BF5A40" w:rsidRPr="00A76890">
        <w:t>L</w:t>
      </w:r>
      <w:r w:rsidRPr="00A76890">
        <w:t>evel 3, changing inputs to the valuation to reasonably possible alternative assumptions would not change significantly amounts recognised in profit or loss, total assets or total liabilities or equity.</w:t>
      </w:r>
    </w:p>
    <w:p w:rsidR="002A30E5" w:rsidRPr="00A76890" w:rsidRDefault="0092140F" w:rsidP="00704CC0">
      <w:pPr>
        <w:pStyle w:val="Normal4-Sub-sub-para"/>
        <w:spacing w:line="240" w:lineRule="auto"/>
        <w:rPr>
          <w:color w:val="000000" w:themeColor="text1"/>
        </w:rPr>
      </w:pPr>
      <w:r w:rsidRPr="00A76890">
        <w:t xml:space="preserve">There have been </w:t>
      </w:r>
      <w:r w:rsidR="002D258F" w:rsidRPr="00A76890">
        <w:t xml:space="preserve">no </w:t>
      </w:r>
      <w:r w:rsidRPr="00A76890">
        <w:t xml:space="preserve">transfers between Levels 2 and 3 during the reporting period. </w:t>
      </w:r>
      <w:r w:rsidRPr="00A76890">
        <w:rPr>
          <w:color w:val="000000" w:themeColor="text1"/>
        </w:rPr>
        <w:t xml:space="preserve">Further, there have been </w:t>
      </w:r>
      <w:r w:rsidR="00ED63A0" w:rsidRPr="00A76890">
        <w:rPr>
          <w:color w:val="000000" w:themeColor="text1"/>
        </w:rPr>
        <w:t xml:space="preserve">no </w:t>
      </w:r>
      <w:r w:rsidR="004C3E32" w:rsidRPr="00A76890">
        <w:rPr>
          <w:color w:val="000000" w:themeColor="text1"/>
        </w:rPr>
        <w:t>transfers</w:t>
      </w:r>
      <w:r w:rsidRPr="00A76890">
        <w:rPr>
          <w:color w:val="000000" w:themeColor="text1"/>
        </w:rPr>
        <w:t xml:space="preserve"> into </w:t>
      </w:r>
      <w:r w:rsidR="0070121F" w:rsidRPr="00A76890">
        <w:rPr>
          <w:color w:val="000000" w:themeColor="text1"/>
        </w:rPr>
        <w:t>L</w:t>
      </w:r>
      <w:r w:rsidRPr="00A76890">
        <w:rPr>
          <w:color w:val="000000" w:themeColor="text1"/>
        </w:rPr>
        <w:t xml:space="preserve">evel 3 during the current reporting </w:t>
      </w:r>
      <w:proofErr w:type="gramStart"/>
      <w:r w:rsidR="0066766F" w:rsidRPr="00A76890">
        <w:rPr>
          <w:color w:val="000000" w:themeColor="text1"/>
        </w:rPr>
        <w:t>period, which are</w:t>
      </w:r>
      <w:proofErr w:type="gramEnd"/>
      <w:r w:rsidR="00B63E9C" w:rsidRPr="00A76890">
        <w:rPr>
          <w:color w:val="000000" w:themeColor="text1"/>
        </w:rPr>
        <w:t xml:space="preserve"> </w:t>
      </w:r>
      <w:r w:rsidR="0066766F" w:rsidRPr="00A76890">
        <w:rPr>
          <w:color w:val="000000" w:themeColor="text1"/>
        </w:rPr>
        <w:t>summarised</w:t>
      </w:r>
      <w:r w:rsidR="00B63E9C" w:rsidRPr="00A76890">
        <w:rPr>
          <w:color w:val="000000" w:themeColor="text1"/>
        </w:rPr>
        <w:t xml:space="preserve"> </w:t>
      </w:r>
      <w:r w:rsidR="0066766F" w:rsidRPr="00A76890">
        <w:rPr>
          <w:color w:val="000000" w:themeColor="text1"/>
        </w:rPr>
        <w:t>below</w:t>
      </w:r>
      <w:r w:rsidRPr="00A76890">
        <w:rPr>
          <w:color w:val="000000" w:themeColor="text1"/>
        </w:rPr>
        <w:t>:</w:t>
      </w:r>
    </w:p>
    <w:p w:rsidR="0092140F" w:rsidRPr="00A76890" w:rsidRDefault="0092140F" w:rsidP="00704CC0">
      <w:pPr>
        <w:pStyle w:val="Heading3-Sub-para"/>
        <w:ind w:left="540"/>
      </w:pPr>
      <w:r w:rsidRPr="00A76890">
        <w:t>Level 3 fair value measurements</w:t>
      </w:r>
    </w:p>
    <w:p w:rsidR="0092140F" w:rsidRPr="00A76890" w:rsidRDefault="0092140F" w:rsidP="00704CC0">
      <w:pPr>
        <w:pStyle w:val="Normal3-Sub-para"/>
        <w:spacing w:after="60" w:line="240" w:lineRule="auto"/>
        <w:ind w:left="539"/>
      </w:pPr>
      <w:r w:rsidRPr="00A76890">
        <w:t xml:space="preserve">The Group’s measurements of financial assets and liabilities classified in </w:t>
      </w:r>
      <w:r w:rsidR="00BF5A40" w:rsidRPr="00A76890">
        <w:t xml:space="preserve">Level </w:t>
      </w:r>
      <w:r w:rsidRPr="00A76890">
        <w:t>3 uses valuation techniques based on significant inputs that are not based on observable market data. The financial instruments within this level can be reconciled from beginning to ending balances as follows:</w:t>
      </w:r>
    </w:p>
    <w:tbl>
      <w:tblPr>
        <w:tblW w:w="8953" w:type="dxa"/>
        <w:tblBorders>
          <w:bottom w:val="single" w:sz="4" w:space="0" w:color="auto"/>
        </w:tblBorders>
        <w:tblLayout w:type="fixed"/>
        <w:tblCellMar>
          <w:top w:w="28" w:type="dxa"/>
          <w:left w:w="57" w:type="dxa"/>
          <w:bottom w:w="28" w:type="dxa"/>
          <w:right w:w="57" w:type="dxa"/>
        </w:tblCellMar>
        <w:tblLook w:val="04A0"/>
      </w:tblPr>
      <w:tblGrid>
        <w:gridCol w:w="5603"/>
        <w:gridCol w:w="1674"/>
        <w:gridCol w:w="1676"/>
      </w:tblGrid>
      <w:tr w:rsidR="0088614A" w:rsidRPr="00A76890" w:rsidTr="00562F9C">
        <w:trPr>
          <w:trHeight w:val="20"/>
          <w:tblHeader/>
        </w:trPr>
        <w:tc>
          <w:tcPr>
            <w:tcW w:w="3129" w:type="pct"/>
            <w:tcBorders>
              <w:top w:val="nil"/>
            </w:tcBorders>
            <w:shd w:val="clear" w:color="auto" w:fill="auto"/>
            <w:vAlign w:val="bottom"/>
          </w:tcPr>
          <w:p w:rsidR="0088614A" w:rsidRPr="0088614A" w:rsidRDefault="0088614A" w:rsidP="00704CC0">
            <w:pPr>
              <w:keepNext/>
              <w:keepLines/>
              <w:tabs>
                <w:tab w:val="left" w:pos="567"/>
                <w:tab w:val="left" w:pos="1134"/>
                <w:tab w:val="left" w:pos="1701"/>
                <w:tab w:val="left" w:pos="2268"/>
              </w:tabs>
              <w:ind w:left="567"/>
              <w:rPr>
                <w:rFonts w:cs="Arial"/>
                <w:b/>
                <w:sz w:val="18"/>
                <w:szCs w:val="18"/>
              </w:rPr>
            </w:pPr>
            <w:r w:rsidRPr="0088614A">
              <w:rPr>
                <w:rFonts w:cs="Arial"/>
                <w:b/>
                <w:sz w:val="18"/>
                <w:szCs w:val="18"/>
              </w:rPr>
              <w:t>Particulars</w:t>
            </w:r>
          </w:p>
        </w:tc>
        <w:tc>
          <w:tcPr>
            <w:tcW w:w="935" w:type="pct"/>
            <w:tcBorders>
              <w:top w:val="nil"/>
            </w:tcBorders>
            <w:vAlign w:val="bottom"/>
          </w:tcPr>
          <w:p w:rsidR="0088614A" w:rsidRPr="0088614A" w:rsidRDefault="0088614A" w:rsidP="00704CC0">
            <w:pPr>
              <w:keepNext/>
              <w:keepLines/>
              <w:tabs>
                <w:tab w:val="left" w:pos="567"/>
                <w:tab w:val="left" w:pos="1134"/>
                <w:tab w:val="left" w:pos="1701"/>
                <w:tab w:val="left" w:pos="2268"/>
              </w:tabs>
              <w:ind w:firstLine="450"/>
              <w:jc w:val="right"/>
              <w:rPr>
                <w:rFonts w:cs="Arial"/>
                <w:b/>
                <w:bCs/>
                <w:sz w:val="18"/>
                <w:szCs w:val="18"/>
              </w:rPr>
            </w:pPr>
            <w:r w:rsidRPr="0088614A">
              <w:rPr>
                <w:rFonts w:cs="Arial"/>
                <w:b/>
                <w:sz w:val="18"/>
                <w:szCs w:val="18"/>
              </w:rPr>
              <w:t>2013</w:t>
            </w:r>
          </w:p>
          <w:p w:rsidR="0088614A" w:rsidRPr="0088614A" w:rsidRDefault="0088614A" w:rsidP="00704CC0">
            <w:pPr>
              <w:keepNext/>
              <w:keepLines/>
              <w:tabs>
                <w:tab w:val="left" w:pos="567"/>
                <w:tab w:val="left" w:pos="1134"/>
                <w:tab w:val="left" w:pos="1701"/>
                <w:tab w:val="left" w:pos="2268"/>
              </w:tabs>
              <w:ind w:firstLine="450"/>
              <w:jc w:val="right"/>
              <w:rPr>
                <w:rFonts w:cs="Arial"/>
                <w:b/>
                <w:bCs/>
                <w:sz w:val="18"/>
                <w:szCs w:val="18"/>
              </w:rPr>
            </w:pPr>
            <w:r w:rsidRPr="0088614A">
              <w:rPr>
                <w:rFonts w:cs="Arial"/>
                <w:b/>
                <w:bCs/>
                <w:sz w:val="18"/>
                <w:szCs w:val="18"/>
              </w:rPr>
              <w:t>£'000</w:t>
            </w:r>
          </w:p>
        </w:tc>
        <w:tc>
          <w:tcPr>
            <w:tcW w:w="936" w:type="pct"/>
            <w:tcBorders>
              <w:top w:val="nil"/>
            </w:tcBorders>
            <w:vAlign w:val="bottom"/>
          </w:tcPr>
          <w:p w:rsidR="0088614A" w:rsidRPr="0088614A" w:rsidRDefault="0088614A" w:rsidP="00704CC0">
            <w:pPr>
              <w:keepNext/>
              <w:keepLines/>
              <w:tabs>
                <w:tab w:val="left" w:pos="567"/>
                <w:tab w:val="left" w:pos="1134"/>
                <w:tab w:val="left" w:pos="1701"/>
                <w:tab w:val="left" w:pos="2268"/>
              </w:tabs>
              <w:ind w:firstLine="450"/>
              <w:jc w:val="right"/>
              <w:rPr>
                <w:rFonts w:cs="Arial"/>
                <w:bCs/>
                <w:sz w:val="18"/>
                <w:szCs w:val="18"/>
              </w:rPr>
            </w:pPr>
            <w:r w:rsidRPr="0088614A">
              <w:rPr>
                <w:rFonts w:cs="Arial"/>
                <w:sz w:val="18"/>
                <w:szCs w:val="18"/>
              </w:rPr>
              <w:t>2012</w:t>
            </w:r>
          </w:p>
          <w:p w:rsidR="0088614A" w:rsidRPr="0088614A" w:rsidRDefault="0088614A" w:rsidP="00704CC0">
            <w:pPr>
              <w:keepNext/>
              <w:keepLines/>
              <w:tabs>
                <w:tab w:val="left" w:pos="567"/>
                <w:tab w:val="left" w:pos="1134"/>
                <w:tab w:val="left" w:pos="1701"/>
                <w:tab w:val="left" w:pos="2268"/>
              </w:tabs>
              <w:ind w:firstLine="450"/>
              <w:jc w:val="right"/>
              <w:rPr>
                <w:rFonts w:cs="Arial"/>
                <w:bCs/>
                <w:sz w:val="18"/>
                <w:szCs w:val="18"/>
              </w:rPr>
            </w:pPr>
            <w:r w:rsidRPr="0088614A">
              <w:rPr>
                <w:rFonts w:cs="Arial"/>
                <w:bCs/>
                <w:sz w:val="18"/>
                <w:szCs w:val="18"/>
              </w:rPr>
              <w:t>£'000</w:t>
            </w:r>
          </w:p>
        </w:tc>
      </w:tr>
      <w:tr w:rsidR="009670B5" w:rsidRPr="00A76890" w:rsidTr="00562F9C">
        <w:trPr>
          <w:trHeight w:val="20"/>
        </w:trPr>
        <w:tc>
          <w:tcPr>
            <w:tcW w:w="3129" w:type="pct"/>
            <w:tcBorders>
              <w:left w:val="nil"/>
              <w:bottom w:val="nil"/>
              <w:right w:val="nil"/>
            </w:tcBorders>
            <w:shd w:val="clear" w:color="auto" w:fill="auto"/>
            <w:noWrap/>
            <w:vAlign w:val="center"/>
          </w:tcPr>
          <w:p w:rsidR="009670B5" w:rsidRPr="0088614A" w:rsidRDefault="009670B5" w:rsidP="00704CC0">
            <w:pPr>
              <w:keepNext/>
              <w:keepLines/>
              <w:tabs>
                <w:tab w:val="left" w:pos="567"/>
                <w:tab w:val="left" w:pos="1134"/>
                <w:tab w:val="left" w:pos="1701"/>
                <w:tab w:val="left" w:pos="2268"/>
              </w:tabs>
              <w:ind w:left="567"/>
              <w:rPr>
                <w:rFonts w:cs="Arial"/>
                <w:sz w:val="18"/>
                <w:szCs w:val="18"/>
              </w:rPr>
            </w:pPr>
            <w:r w:rsidRPr="0088614A">
              <w:rPr>
                <w:rFonts w:cs="Arial"/>
                <w:sz w:val="18"/>
                <w:szCs w:val="18"/>
              </w:rPr>
              <w:t>Opening balance</w:t>
            </w:r>
          </w:p>
        </w:tc>
        <w:tc>
          <w:tcPr>
            <w:tcW w:w="935" w:type="pct"/>
            <w:tcBorders>
              <w:left w:val="nil"/>
              <w:right w:val="nil"/>
            </w:tcBorders>
            <w:vAlign w:val="center"/>
          </w:tcPr>
          <w:p w:rsidR="009670B5" w:rsidRPr="0088614A" w:rsidRDefault="00E61FEE" w:rsidP="00704CC0">
            <w:pPr>
              <w:keepNext/>
              <w:keepLines/>
              <w:tabs>
                <w:tab w:val="left" w:pos="567"/>
                <w:tab w:val="left" w:pos="1134"/>
                <w:tab w:val="left" w:pos="1701"/>
                <w:tab w:val="left" w:pos="2268"/>
              </w:tabs>
              <w:autoSpaceDE w:val="0"/>
              <w:autoSpaceDN w:val="0"/>
              <w:adjustRightInd w:val="0"/>
              <w:ind w:firstLine="450"/>
              <w:jc w:val="right"/>
              <w:rPr>
                <w:rFonts w:cs="Arial"/>
                <w:b/>
                <w:color w:val="000000"/>
                <w:sz w:val="18"/>
                <w:szCs w:val="18"/>
              </w:rPr>
            </w:pPr>
            <w:r w:rsidRPr="0088614A">
              <w:rPr>
                <w:rFonts w:cs="Arial"/>
                <w:b/>
                <w:color w:val="000000"/>
                <w:sz w:val="18"/>
                <w:szCs w:val="18"/>
              </w:rPr>
              <w:t>10,395</w:t>
            </w:r>
          </w:p>
        </w:tc>
        <w:tc>
          <w:tcPr>
            <w:tcW w:w="936" w:type="pct"/>
            <w:tcBorders>
              <w:left w:val="nil"/>
              <w:right w:val="nil"/>
            </w:tcBorders>
            <w:vAlign w:val="center"/>
          </w:tcPr>
          <w:p w:rsidR="009670B5" w:rsidRPr="0088614A" w:rsidRDefault="009670B5" w:rsidP="00704CC0">
            <w:pPr>
              <w:keepNext/>
              <w:keepLines/>
              <w:tabs>
                <w:tab w:val="left" w:pos="567"/>
                <w:tab w:val="left" w:pos="1134"/>
                <w:tab w:val="left" w:pos="1701"/>
                <w:tab w:val="left" w:pos="2268"/>
              </w:tabs>
              <w:autoSpaceDE w:val="0"/>
              <w:autoSpaceDN w:val="0"/>
              <w:adjustRightInd w:val="0"/>
              <w:ind w:firstLine="450"/>
              <w:jc w:val="right"/>
              <w:rPr>
                <w:rFonts w:cs="Arial"/>
                <w:color w:val="000000"/>
                <w:sz w:val="18"/>
                <w:szCs w:val="18"/>
              </w:rPr>
            </w:pPr>
            <w:r w:rsidRPr="0088614A">
              <w:rPr>
                <w:rFonts w:cs="Arial"/>
                <w:color w:val="000000"/>
                <w:sz w:val="18"/>
                <w:szCs w:val="18"/>
              </w:rPr>
              <w:t>4,248</w:t>
            </w:r>
          </w:p>
        </w:tc>
      </w:tr>
      <w:tr w:rsidR="009670B5" w:rsidRPr="00A76890" w:rsidTr="00562F9C">
        <w:tblPrEx>
          <w:tblBorders>
            <w:bottom w:val="none" w:sz="0" w:space="0" w:color="auto"/>
          </w:tblBorders>
        </w:tblPrEx>
        <w:trPr>
          <w:trHeight w:val="20"/>
        </w:trPr>
        <w:tc>
          <w:tcPr>
            <w:tcW w:w="3129" w:type="pct"/>
            <w:tcBorders>
              <w:top w:val="nil"/>
              <w:left w:val="nil"/>
              <w:bottom w:val="nil"/>
              <w:right w:val="nil"/>
            </w:tcBorders>
            <w:shd w:val="clear" w:color="auto" w:fill="auto"/>
            <w:noWrap/>
            <w:vAlign w:val="center"/>
          </w:tcPr>
          <w:p w:rsidR="009670B5" w:rsidRPr="0088614A" w:rsidRDefault="009670B5" w:rsidP="00704CC0">
            <w:pPr>
              <w:keepNext/>
              <w:keepLines/>
              <w:tabs>
                <w:tab w:val="left" w:pos="567"/>
                <w:tab w:val="left" w:pos="1134"/>
                <w:tab w:val="left" w:pos="1701"/>
                <w:tab w:val="left" w:pos="2268"/>
              </w:tabs>
              <w:ind w:left="567"/>
              <w:rPr>
                <w:rFonts w:cs="Arial"/>
                <w:sz w:val="18"/>
                <w:szCs w:val="18"/>
              </w:rPr>
            </w:pPr>
            <w:r w:rsidRPr="0088614A">
              <w:rPr>
                <w:rFonts w:cs="Arial"/>
                <w:sz w:val="18"/>
                <w:szCs w:val="18"/>
              </w:rPr>
              <w:t>Purchases</w:t>
            </w:r>
          </w:p>
        </w:tc>
        <w:tc>
          <w:tcPr>
            <w:tcW w:w="935" w:type="pct"/>
            <w:tcBorders>
              <w:top w:val="nil"/>
              <w:left w:val="nil"/>
              <w:right w:val="nil"/>
            </w:tcBorders>
            <w:vAlign w:val="center"/>
          </w:tcPr>
          <w:p w:rsidR="009670B5" w:rsidRPr="0088614A" w:rsidRDefault="00E61FEE" w:rsidP="00704CC0">
            <w:pPr>
              <w:keepNext/>
              <w:keepLines/>
              <w:tabs>
                <w:tab w:val="left" w:pos="567"/>
                <w:tab w:val="left" w:pos="1134"/>
                <w:tab w:val="left" w:pos="1701"/>
                <w:tab w:val="left" w:pos="2268"/>
              </w:tabs>
              <w:autoSpaceDE w:val="0"/>
              <w:autoSpaceDN w:val="0"/>
              <w:adjustRightInd w:val="0"/>
              <w:ind w:firstLine="450"/>
              <w:jc w:val="right"/>
              <w:rPr>
                <w:rFonts w:cs="Arial"/>
                <w:b/>
                <w:color w:val="000000"/>
                <w:sz w:val="18"/>
                <w:szCs w:val="18"/>
              </w:rPr>
            </w:pPr>
            <w:r w:rsidRPr="0088614A">
              <w:rPr>
                <w:rFonts w:cs="Arial"/>
                <w:b/>
                <w:color w:val="000000"/>
                <w:sz w:val="18"/>
                <w:szCs w:val="18"/>
              </w:rPr>
              <w:t>-</w:t>
            </w:r>
          </w:p>
        </w:tc>
        <w:tc>
          <w:tcPr>
            <w:tcW w:w="936" w:type="pct"/>
            <w:tcBorders>
              <w:top w:val="nil"/>
              <w:left w:val="nil"/>
              <w:right w:val="nil"/>
            </w:tcBorders>
            <w:vAlign w:val="center"/>
          </w:tcPr>
          <w:p w:rsidR="009670B5" w:rsidRPr="0088614A" w:rsidRDefault="009670B5" w:rsidP="00704CC0">
            <w:pPr>
              <w:keepNext/>
              <w:keepLines/>
              <w:tabs>
                <w:tab w:val="left" w:pos="567"/>
                <w:tab w:val="left" w:pos="1134"/>
                <w:tab w:val="left" w:pos="1701"/>
                <w:tab w:val="left" w:pos="2268"/>
              </w:tabs>
              <w:autoSpaceDE w:val="0"/>
              <w:autoSpaceDN w:val="0"/>
              <w:adjustRightInd w:val="0"/>
              <w:ind w:firstLine="450"/>
              <w:jc w:val="right"/>
              <w:rPr>
                <w:rFonts w:cs="Arial"/>
                <w:color w:val="000000"/>
                <w:sz w:val="18"/>
                <w:szCs w:val="18"/>
              </w:rPr>
            </w:pPr>
            <w:r w:rsidRPr="0088614A">
              <w:rPr>
                <w:rFonts w:cs="Arial"/>
                <w:color w:val="000000"/>
                <w:sz w:val="18"/>
                <w:szCs w:val="18"/>
              </w:rPr>
              <w:t>471</w:t>
            </w:r>
          </w:p>
        </w:tc>
      </w:tr>
      <w:tr w:rsidR="0088614A" w:rsidRPr="00A76890" w:rsidTr="00562F9C">
        <w:tblPrEx>
          <w:tblBorders>
            <w:bottom w:val="none" w:sz="0" w:space="0" w:color="auto"/>
          </w:tblBorders>
        </w:tblPrEx>
        <w:trPr>
          <w:trHeight w:val="20"/>
        </w:trPr>
        <w:tc>
          <w:tcPr>
            <w:tcW w:w="3129" w:type="pct"/>
            <w:tcBorders>
              <w:top w:val="nil"/>
              <w:left w:val="nil"/>
              <w:bottom w:val="nil"/>
              <w:right w:val="nil"/>
            </w:tcBorders>
            <w:shd w:val="clear" w:color="auto" w:fill="auto"/>
            <w:noWrap/>
            <w:vAlign w:val="center"/>
          </w:tcPr>
          <w:p w:rsidR="0088614A" w:rsidRPr="0088614A" w:rsidRDefault="0088614A" w:rsidP="00704CC0">
            <w:pPr>
              <w:keepNext/>
              <w:keepLines/>
              <w:tabs>
                <w:tab w:val="left" w:pos="567"/>
                <w:tab w:val="left" w:pos="1134"/>
                <w:tab w:val="left" w:pos="1701"/>
                <w:tab w:val="left" w:pos="2268"/>
              </w:tabs>
              <w:ind w:left="567"/>
              <w:rPr>
                <w:rFonts w:cs="Arial"/>
                <w:sz w:val="18"/>
                <w:szCs w:val="18"/>
              </w:rPr>
            </w:pPr>
            <w:r w:rsidRPr="0088614A">
              <w:rPr>
                <w:rFonts w:cs="Arial"/>
                <w:sz w:val="18"/>
                <w:szCs w:val="18"/>
              </w:rPr>
              <w:t>Transfers from Level 2</w:t>
            </w:r>
          </w:p>
        </w:tc>
        <w:tc>
          <w:tcPr>
            <w:tcW w:w="935" w:type="pct"/>
            <w:tcBorders>
              <w:top w:val="nil"/>
              <w:left w:val="nil"/>
              <w:right w:val="nil"/>
            </w:tcBorders>
            <w:vAlign w:val="center"/>
          </w:tcPr>
          <w:p w:rsidR="0088614A" w:rsidRPr="0088614A" w:rsidRDefault="0088614A" w:rsidP="00704CC0">
            <w:pPr>
              <w:keepNext/>
              <w:keepLines/>
              <w:tabs>
                <w:tab w:val="left" w:pos="567"/>
                <w:tab w:val="left" w:pos="1134"/>
                <w:tab w:val="left" w:pos="1701"/>
                <w:tab w:val="left" w:pos="2268"/>
              </w:tabs>
              <w:autoSpaceDE w:val="0"/>
              <w:autoSpaceDN w:val="0"/>
              <w:adjustRightInd w:val="0"/>
              <w:ind w:firstLine="450"/>
              <w:jc w:val="right"/>
              <w:rPr>
                <w:rFonts w:cs="Arial"/>
                <w:b/>
                <w:color w:val="000000"/>
                <w:sz w:val="18"/>
                <w:szCs w:val="18"/>
              </w:rPr>
            </w:pPr>
            <w:r w:rsidRPr="0088614A">
              <w:rPr>
                <w:rFonts w:cs="Arial"/>
                <w:b/>
                <w:color w:val="000000"/>
                <w:sz w:val="18"/>
                <w:szCs w:val="18"/>
              </w:rPr>
              <w:t>-</w:t>
            </w:r>
          </w:p>
        </w:tc>
        <w:tc>
          <w:tcPr>
            <w:tcW w:w="936" w:type="pct"/>
            <w:tcBorders>
              <w:top w:val="nil"/>
              <w:left w:val="nil"/>
              <w:right w:val="nil"/>
            </w:tcBorders>
            <w:vAlign w:val="center"/>
          </w:tcPr>
          <w:p w:rsidR="0088614A" w:rsidRPr="0088614A" w:rsidRDefault="0088614A" w:rsidP="00704CC0">
            <w:pPr>
              <w:keepNext/>
              <w:keepLines/>
              <w:tabs>
                <w:tab w:val="left" w:pos="567"/>
                <w:tab w:val="left" w:pos="1134"/>
                <w:tab w:val="left" w:pos="1701"/>
                <w:tab w:val="left" w:pos="2268"/>
              </w:tabs>
              <w:autoSpaceDE w:val="0"/>
              <w:autoSpaceDN w:val="0"/>
              <w:adjustRightInd w:val="0"/>
              <w:ind w:firstLine="450"/>
              <w:jc w:val="right"/>
              <w:rPr>
                <w:rFonts w:cs="Arial"/>
                <w:color w:val="000000"/>
                <w:sz w:val="18"/>
                <w:szCs w:val="18"/>
              </w:rPr>
            </w:pPr>
            <w:r w:rsidRPr="0088614A">
              <w:rPr>
                <w:rFonts w:cs="Arial"/>
                <w:color w:val="000000"/>
                <w:sz w:val="18"/>
                <w:szCs w:val="18"/>
              </w:rPr>
              <w:t>5,731</w:t>
            </w:r>
          </w:p>
        </w:tc>
      </w:tr>
      <w:tr w:rsidR="0088614A" w:rsidRPr="00A76890" w:rsidTr="00562F9C">
        <w:tblPrEx>
          <w:tblBorders>
            <w:bottom w:val="none" w:sz="0" w:space="0" w:color="auto"/>
          </w:tblBorders>
        </w:tblPrEx>
        <w:trPr>
          <w:trHeight w:val="20"/>
        </w:trPr>
        <w:tc>
          <w:tcPr>
            <w:tcW w:w="3129" w:type="pct"/>
            <w:tcBorders>
              <w:top w:val="nil"/>
              <w:left w:val="nil"/>
              <w:bottom w:val="nil"/>
              <w:right w:val="nil"/>
            </w:tcBorders>
            <w:shd w:val="clear" w:color="auto" w:fill="auto"/>
            <w:noWrap/>
            <w:vAlign w:val="center"/>
          </w:tcPr>
          <w:p w:rsidR="0088614A" w:rsidRPr="0088614A" w:rsidRDefault="0088614A" w:rsidP="00704CC0">
            <w:pPr>
              <w:keepNext/>
              <w:keepLines/>
              <w:tabs>
                <w:tab w:val="left" w:pos="567"/>
                <w:tab w:val="left" w:pos="1134"/>
                <w:tab w:val="left" w:pos="1701"/>
                <w:tab w:val="left" w:pos="2268"/>
              </w:tabs>
              <w:ind w:left="567"/>
              <w:rPr>
                <w:rFonts w:cs="Arial"/>
                <w:sz w:val="18"/>
                <w:szCs w:val="18"/>
              </w:rPr>
            </w:pPr>
            <w:r w:rsidRPr="0088614A">
              <w:rPr>
                <w:rFonts w:cs="Arial"/>
                <w:sz w:val="18"/>
                <w:szCs w:val="18"/>
              </w:rPr>
              <w:t>Sale</w:t>
            </w:r>
          </w:p>
        </w:tc>
        <w:tc>
          <w:tcPr>
            <w:tcW w:w="935" w:type="pct"/>
            <w:tcBorders>
              <w:top w:val="nil"/>
              <w:left w:val="nil"/>
              <w:right w:val="nil"/>
            </w:tcBorders>
            <w:vAlign w:val="center"/>
          </w:tcPr>
          <w:p w:rsidR="0088614A" w:rsidRPr="0088614A" w:rsidRDefault="0088614A" w:rsidP="00704CC0">
            <w:pPr>
              <w:keepNext/>
              <w:keepLines/>
              <w:tabs>
                <w:tab w:val="left" w:pos="567"/>
                <w:tab w:val="left" w:pos="1134"/>
                <w:tab w:val="left" w:pos="1701"/>
                <w:tab w:val="left" w:pos="2268"/>
              </w:tabs>
              <w:autoSpaceDE w:val="0"/>
              <w:autoSpaceDN w:val="0"/>
              <w:adjustRightInd w:val="0"/>
              <w:ind w:firstLine="450"/>
              <w:jc w:val="right"/>
              <w:rPr>
                <w:rFonts w:cs="Arial"/>
                <w:b/>
                <w:color w:val="000000"/>
                <w:sz w:val="18"/>
                <w:szCs w:val="18"/>
              </w:rPr>
            </w:pPr>
            <w:r w:rsidRPr="0088614A">
              <w:rPr>
                <w:rFonts w:cs="Arial"/>
                <w:b/>
                <w:color w:val="000000"/>
                <w:sz w:val="18"/>
                <w:szCs w:val="18"/>
              </w:rPr>
              <w:t>(3,004)</w:t>
            </w:r>
          </w:p>
        </w:tc>
        <w:tc>
          <w:tcPr>
            <w:tcW w:w="936" w:type="pct"/>
            <w:tcBorders>
              <w:top w:val="nil"/>
              <w:left w:val="nil"/>
              <w:right w:val="nil"/>
            </w:tcBorders>
            <w:vAlign w:val="center"/>
          </w:tcPr>
          <w:p w:rsidR="0088614A" w:rsidRPr="0088614A" w:rsidRDefault="0088614A" w:rsidP="00704CC0">
            <w:pPr>
              <w:keepNext/>
              <w:keepLines/>
              <w:tabs>
                <w:tab w:val="left" w:pos="567"/>
                <w:tab w:val="left" w:pos="1134"/>
                <w:tab w:val="left" w:pos="1701"/>
                <w:tab w:val="left" w:pos="2268"/>
              </w:tabs>
              <w:autoSpaceDE w:val="0"/>
              <w:autoSpaceDN w:val="0"/>
              <w:adjustRightInd w:val="0"/>
              <w:ind w:firstLine="450"/>
              <w:jc w:val="right"/>
              <w:rPr>
                <w:rFonts w:cs="Arial"/>
                <w:color w:val="000000"/>
                <w:sz w:val="18"/>
                <w:szCs w:val="18"/>
              </w:rPr>
            </w:pPr>
            <w:r w:rsidRPr="0088614A">
              <w:rPr>
                <w:rFonts w:cs="Arial"/>
                <w:color w:val="000000"/>
                <w:sz w:val="18"/>
                <w:szCs w:val="18"/>
              </w:rPr>
              <w:t>-</w:t>
            </w:r>
          </w:p>
        </w:tc>
      </w:tr>
      <w:tr w:rsidR="0088614A" w:rsidRPr="00A76890" w:rsidTr="00562F9C">
        <w:tblPrEx>
          <w:tblBorders>
            <w:bottom w:val="none" w:sz="0" w:space="0" w:color="auto"/>
          </w:tblBorders>
        </w:tblPrEx>
        <w:trPr>
          <w:trHeight w:val="20"/>
        </w:trPr>
        <w:tc>
          <w:tcPr>
            <w:tcW w:w="3129" w:type="pct"/>
            <w:tcBorders>
              <w:top w:val="nil"/>
              <w:left w:val="nil"/>
              <w:bottom w:val="nil"/>
              <w:right w:val="nil"/>
            </w:tcBorders>
            <w:shd w:val="clear" w:color="auto" w:fill="auto"/>
            <w:noWrap/>
            <w:vAlign w:val="center"/>
          </w:tcPr>
          <w:p w:rsidR="0088614A" w:rsidRPr="0088614A" w:rsidRDefault="0088614A" w:rsidP="00704CC0">
            <w:pPr>
              <w:keepNext/>
              <w:keepLines/>
              <w:tabs>
                <w:tab w:val="left" w:pos="567"/>
                <w:tab w:val="left" w:pos="1134"/>
                <w:tab w:val="left" w:pos="1701"/>
                <w:tab w:val="left" w:pos="2268"/>
              </w:tabs>
              <w:ind w:left="567"/>
              <w:rPr>
                <w:rFonts w:cs="Arial"/>
                <w:sz w:val="18"/>
                <w:szCs w:val="18"/>
              </w:rPr>
            </w:pPr>
            <w:r w:rsidRPr="0088614A">
              <w:rPr>
                <w:rFonts w:cs="Arial"/>
                <w:sz w:val="18"/>
                <w:szCs w:val="18"/>
              </w:rPr>
              <w:t>Losses</w:t>
            </w:r>
          </w:p>
        </w:tc>
        <w:tc>
          <w:tcPr>
            <w:tcW w:w="935" w:type="pct"/>
            <w:tcBorders>
              <w:top w:val="nil"/>
              <w:left w:val="nil"/>
              <w:right w:val="nil"/>
            </w:tcBorders>
            <w:vAlign w:val="center"/>
          </w:tcPr>
          <w:p w:rsidR="0088614A" w:rsidRPr="0088614A" w:rsidRDefault="0088614A" w:rsidP="00704CC0">
            <w:pPr>
              <w:keepNext/>
              <w:keepLines/>
              <w:tabs>
                <w:tab w:val="left" w:pos="567"/>
                <w:tab w:val="left" w:pos="1134"/>
                <w:tab w:val="left" w:pos="1701"/>
                <w:tab w:val="left" w:pos="2268"/>
              </w:tabs>
              <w:autoSpaceDE w:val="0"/>
              <w:autoSpaceDN w:val="0"/>
              <w:adjustRightInd w:val="0"/>
              <w:ind w:firstLine="450"/>
              <w:jc w:val="right"/>
              <w:rPr>
                <w:rFonts w:cs="Arial"/>
                <w:b/>
                <w:color w:val="000000"/>
                <w:sz w:val="18"/>
                <w:szCs w:val="18"/>
              </w:rPr>
            </w:pPr>
            <w:r w:rsidRPr="0088614A">
              <w:rPr>
                <w:rFonts w:cs="Arial"/>
                <w:b/>
                <w:color w:val="000000"/>
                <w:sz w:val="18"/>
                <w:szCs w:val="18"/>
              </w:rPr>
              <w:t>(2,516)</w:t>
            </w:r>
          </w:p>
        </w:tc>
        <w:tc>
          <w:tcPr>
            <w:tcW w:w="936" w:type="pct"/>
            <w:tcBorders>
              <w:top w:val="nil"/>
              <w:left w:val="nil"/>
              <w:right w:val="nil"/>
            </w:tcBorders>
            <w:vAlign w:val="center"/>
          </w:tcPr>
          <w:p w:rsidR="0088614A" w:rsidRPr="0088614A" w:rsidRDefault="0088614A" w:rsidP="00704CC0">
            <w:pPr>
              <w:keepNext/>
              <w:keepLines/>
              <w:tabs>
                <w:tab w:val="left" w:pos="567"/>
                <w:tab w:val="left" w:pos="1134"/>
                <w:tab w:val="left" w:pos="1701"/>
                <w:tab w:val="left" w:pos="2268"/>
              </w:tabs>
              <w:autoSpaceDE w:val="0"/>
              <w:autoSpaceDN w:val="0"/>
              <w:adjustRightInd w:val="0"/>
              <w:ind w:firstLine="450"/>
              <w:jc w:val="right"/>
              <w:rPr>
                <w:rFonts w:cs="Arial"/>
                <w:color w:val="000000"/>
                <w:sz w:val="18"/>
                <w:szCs w:val="18"/>
              </w:rPr>
            </w:pPr>
            <w:r w:rsidRPr="0088614A">
              <w:rPr>
                <w:rFonts w:cs="Arial"/>
                <w:color w:val="000000"/>
                <w:sz w:val="18"/>
                <w:szCs w:val="18"/>
              </w:rPr>
              <w:t>(55)</w:t>
            </w:r>
          </w:p>
        </w:tc>
      </w:tr>
      <w:tr w:rsidR="0088614A" w:rsidRPr="00A76890" w:rsidTr="00562F9C">
        <w:tblPrEx>
          <w:tblBorders>
            <w:bottom w:val="none" w:sz="0" w:space="0" w:color="auto"/>
          </w:tblBorders>
        </w:tblPrEx>
        <w:trPr>
          <w:trHeight w:val="20"/>
        </w:trPr>
        <w:tc>
          <w:tcPr>
            <w:tcW w:w="3129" w:type="pct"/>
            <w:tcBorders>
              <w:left w:val="nil"/>
              <w:right w:val="nil"/>
            </w:tcBorders>
            <w:shd w:val="clear" w:color="auto" w:fill="auto"/>
            <w:noWrap/>
          </w:tcPr>
          <w:p w:rsidR="0088614A" w:rsidRPr="0088614A" w:rsidRDefault="0088614A" w:rsidP="00704CC0">
            <w:pPr>
              <w:tabs>
                <w:tab w:val="left" w:pos="567"/>
                <w:tab w:val="left" w:pos="1134"/>
                <w:tab w:val="left" w:pos="1701"/>
                <w:tab w:val="left" w:pos="2268"/>
              </w:tabs>
              <w:ind w:left="567"/>
              <w:rPr>
                <w:rFonts w:cs="Arial"/>
                <w:b/>
                <w:bCs/>
                <w:sz w:val="18"/>
                <w:szCs w:val="18"/>
              </w:rPr>
            </w:pPr>
            <w:r w:rsidRPr="0088614A">
              <w:rPr>
                <w:rFonts w:cs="Arial"/>
                <w:b/>
                <w:bCs/>
                <w:sz w:val="18"/>
                <w:szCs w:val="18"/>
              </w:rPr>
              <w:t>Closing balance</w:t>
            </w:r>
          </w:p>
        </w:tc>
        <w:tc>
          <w:tcPr>
            <w:tcW w:w="935" w:type="pct"/>
            <w:tcBorders>
              <w:top w:val="single" w:sz="4" w:space="0" w:color="auto"/>
              <w:left w:val="nil"/>
              <w:bottom w:val="single" w:sz="4" w:space="0" w:color="auto"/>
              <w:right w:val="nil"/>
            </w:tcBorders>
            <w:vAlign w:val="center"/>
          </w:tcPr>
          <w:p w:rsidR="0088614A" w:rsidRPr="0088614A" w:rsidRDefault="0088614A" w:rsidP="00704CC0">
            <w:pPr>
              <w:tabs>
                <w:tab w:val="left" w:pos="567"/>
                <w:tab w:val="left" w:pos="1134"/>
                <w:tab w:val="left" w:pos="1701"/>
                <w:tab w:val="left" w:pos="2268"/>
              </w:tabs>
              <w:autoSpaceDE w:val="0"/>
              <w:autoSpaceDN w:val="0"/>
              <w:adjustRightInd w:val="0"/>
              <w:ind w:firstLine="450"/>
              <w:jc w:val="right"/>
              <w:rPr>
                <w:rFonts w:cs="Arial"/>
                <w:b/>
                <w:bCs/>
                <w:color w:val="000000"/>
                <w:sz w:val="18"/>
                <w:szCs w:val="18"/>
              </w:rPr>
            </w:pPr>
            <w:r w:rsidRPr="0088614A">
              <w:rPr>
                <w:rFonts w:cs="Arial"/>
                <w:b/>
                <w:color w:val="000000"/>
                <w:sz w:val="18"/>
                <w:szCs w:val="18"/>
              </w:rPr>
              <w:t>4,875</w:t>
            </w:r>
          </w:p>
        </w:tc>
        <w:tc>
          <w:tcPr>
            <w:tcW w:w="936" w:type="pct"/>
            <w:tcBorders>
              <w:top w:val="single" w:sz="4" w:space="0" w:color="auto"/>
              <w:left w:val="nil"/>
              <w:bottom w:val="single" w:sz="4" w:space="0" w:color="auto"/>
              <w:right w:val="nil"/>
            </w:tcBorders>
            <w:vAlign w:val="center"/>
          </w:tcPr>
          <w:p w:rsidR="0088614A" w:rsidRPr="0088614A" w:rsidRDefault="0088614A" w:rsidP="00704CC0">
            <w:pPr>
              <w:tabs>
                <w:tab w:val="left" w:pos="567"/>
                <w:tab w:val="left" w:pos="1134"/>
                <w:tab w:val="left" w:pos="1701"/>
                <w:tab w:val="left" w:pos="2268"/>
              </w:tabs>
              <w:autoSpaceDE w:val="0"/>
              <w:autoSpaceDN w:val="0"/>
              <w:adjustRightInd w:val="0"/>
              <w:ind w:firstLine="450"/>
              <w:jc w:val="right"/>
              <w:rPr>
                <w:rFonts w:cs="Arial"/>
                <w:bCs/>
                <w:color w:val="000000"/>
                <w:sz w:val="18"/>
                <w:szCs w:val="18"/>
              </w:rPr>
            </w:pPr>
            <w:r w:rsidRPr="0088614A">
              <w:rPr>
                <w:rFonts w:cs="Arial"/>
                <w:bCs/>
                <w:color w:val="000000"/>
                <w:sz w:val="18"/>
                <w:szCs w:val="18"/>
              </w:rPr>
              <w:t>10,395</w:t>
            </w:r>
          </w:p>
        </w:tc>
      </w:tr>
    </w:tbl>
    <w:p w:rsidR="00F23BCB" w:rsidRPr="00A76890" w:rsidRDefault="00F23BCB" w:rsidP="00704CC0">
      <w:pPr>
        <w:pStyle w:val="Normal3-Sub-para"/>
        <w:spacing w:line="240" w:lineRule="auto"/>
        <w:ind w:left="567"/>
      </w:pPr>
      <w:r w:rsidRPr="00A76890">
        <w:t xml:space="preserve">For the investments, </w:t>
      </w:r>
      <w:proofErr w:type="spellStart"/>
      <w:r w:rsidRPr="00A76890">
        <w:t>Amar</w:t>
      </w:r>
      <w:proofErr w:type="spellEnd"/>
      <w:r w:rsidRPr="00A76890">
        <w:t xml:space="preserve"> </w:t>
      </w:r>
      <w:proofErr w:type="spellStart"/>
      <w:r w:rsidRPr="00A76890">
        <w:t>Chitra</w:t>
      </w:r>
      <w:proofErr w:type="spellEnd"/>
      <w:r w:rsidRPr="00A76890">
        <w:t xml:space="preserve"> </w:t>
      </w:r>
      <w:proofErr w:type="spellStart"/>
      <w:r w:rsidRPr="00A76890">
        <w:t>Katha</w:t>
      </w:r>
      <w:proofErr w:type="spellEnd"/>
      <w:r w:rsidRPr="00A76890">
        <w:t xml:space="preserve"> and Air Works which are valued using the discounted cash flows methodology</w:t>
      </w:r>
      <w:r w:rsidR="000D7005" w:rsidRPr="00A76890">
        <w:t xml:space="preserve"> and are </w:t>
      </w:r>
      <w:r w:rsidRPr="00A76890">
        <w:t xml:space="preserve">classified as </w:t>
      </w:r>
      <w:r w:rsidR="00053132" w:rsidRPr="00A76890">
        <w:t>L</w:t>
      </w:r>
      <w:r w:rsidRPr="00A76890">
        <w:t xml:space="preserve">evel 3 at the reporting date, the Company adjusted the discount rate and growth rate assumptions within a range of reasonably possible alternatives. The extent of the adjustment varied according to the characteristics of each security. For results of the sensitivity analysis, refer </w:t>
      </w:r>
      <w:r w:rsidR="000D7005" w:rsidRPr="00A76890">
        <w:t xml:space="preserve">to </w:t>
      </w:r>
      <w:r w:rsidRPr="00A76890">
        <w:t>the results tabulated below:</w:t>
      </w:r>
    </w:p>
    <w:tbl>
      <w:tblPr>
        <w:tblW w:w="8953" w:type="dxa"/>
        <w:tblBorders>
          <w:bottom w:val="single" w:sz="4" w:space="0" w:color="auto"/>
        </w:tblBorders>
        <w:tblCellMar>
          <w:top w:w="28" w:type="dxa"/>
          <w:left w:w="57" w:type="dxa"/>
          <w:bottom w:w="28" w:type="dxa"/>
          <w:right w:w="57" w:type="dxa"/>
        </w:tblCellMar>
        <w:tblLook w:val="04A0"/>
      </w:tblPr>
      <w:tblGrid>
        <w:gridCol w:w="5603"/>
        <w:gridCol w:w="1674"/>
        <w:gridCol w:w="1676"/>
      </w:tblGrid>
      <w:tr w:rsidR="00D53294" w:rsidRPr="00D53294" w:rsidTr="00562F9C">
        <w:trPr>
          <w:trHeight w:val="20"/>
          <w:tblHeader/>
        </w:trPr>
        <w:tc>
          <w:tcPr>
            <w:tcW w:w="3129" w:type="pct"/>
            <w:tcBorders>
              <w:top w:val="nil"/>
            </w:tcBorders>
            <w:shd w:val="clear" w:color="auto" w:fill="auto"/>
            <w:vAlign w:val="bottom"/>
          </w:tcPr>
          <w:p w:rsidR="00D53294" w:rsidRPr="00D53294" w:rsidRDefault="00D53294" w:rsidP="00704CC0">
            <w:pPr>
              <w:keepNext/>
              <w:keepLines/>
              <w:tabs>
                <w:tab w:val="left" w:pos="567"/>
                <w:tab w:val="left" w:pos="1134"/>
                <w:tab w:val="left" w:pos="1701"/>
                <w:tab w:val="left" w:pos="2268"/>
              </w:tabs>
              <w:ind w:left="567"/>
              <w:rPr>
                <w:rFonts w:cs="Arial"/>
                <w:b/>
                <w:sz w:val="18"/>
                <w:szCs w:val="18"/>
              </w:rPr>
            </w:pPr>
            <w:r w:rsidRPr="00D53294">
              <w:rPr>
                <w:rFonts w:cs="Arial"/>
                <w:b/>
                <w:sz w:val="18"/>
                <w:szCs w:val="18"/>
              </w:rPr>
              <w:t>Particulars</w:t>
            </w:r>
          </w:p>
        </w:tc>
        <w:tc>
          <w:tcPr>
            <w:tcW w:w="935" w:type="pct"/>
            <w:tcBorders>
              <w:top w:val="nil"/>
            </w:tcBorders>
            <w:vAlign w:val="bottom"/>
          </w:tcPr>
          <w:p w:rsidR="00D53294" w:rsidRPr="00D53294" w:rsidRDefault="00D53294" w:rsidP="00704CC0">
            <w:pPr>
              <w:keepNext/>
              <w:keepLines/>
              <w:tabs>
                <w:tab w:val="left" w:pos="567"/>
                <w:tab w:val="left" w:pos="1134"/>
                <w:tab w:val="left" w:pos="1701"/>
                <w:tab w:val="left" w:pos="2268"/>
              </w:tabs>
              <w:ind w:firstLine="450"/>
              <w:jc w:val="right"/>
              <w:rPr>
                <w:rFonts w:cs="Arial"/>
                <w:b/>
                <w:bCs/>
                <w:sz w:val="18"/>
                <w:szCs w:val="18"/>
              </w:rPr>
            </w:pPr>
            <w:r w:rsidRPr="00D53294">
              <w:rPr>
                <w:rFonts w:cs="Arial"/>
                <w:b/>
                <w:sz w:val="18"/>
                <w:szCs w:val="18"/>
              </w:rPr>
              <w:t>2013</w:t>
            </w:r>
          </w:p>
          <w:p w:rsidR="00D53294" w:rsidRPr="00D53294" w:rsidRDefault="00D53294" w:rsidP="00704CC0">
            <w:pPr>
              <w:keepNext/>
              <w:keepLines/>
              <w:tabs>
                <w:tab w:val="left" w:pos="567"/>
                <w:tab w:val="left" w:pos="1134"/>
                <w:tab w:val="left" w:pos="1701"/>
                <w:tab w:val="left" w:pos="2268"/>
              </w:tabs>
              <w:ind w:firstLine="450"/>
              <w:jc w:val="right"/>
              <w:rPr>
                <w:rFonts w:cs="Arial"/>
                <w:b/>
                <w:bCs/>
                <w:sz w:val="18"/>
                <w:szCs w:val="18"/>
              </w:rPr>
            </w:pPr>
            <w:r w:rsidRPr="00D53294">
              <w:rPr>
                <w:rFonts w:cs="Arial"/>
                <w:b/>
                <w:bCs/>
                <w:sz w:val="18"/>
                <w:szCs w:val="18"/>
              </w:rPr>
              <w:t>£’000</w:t>
            </w:r>
          </w:p>
        </w:tc>
        <w:tc>
          <w:tcPr>
            <w:tcW w:w="936" w:type="pct"/>
            <w:tcBorders>
              <w:top w:val="nil"/>
            </w:tcBorders>
            <w:vAlign w:val="bottom"/>
          </w:tcPr>
          <w:p w:rsidR="00D53294" w:rsidRPr="00D53294" w:rsidRDefault="00D53294" w:rsidP="00704CC0">
            <w:pPr>
              <w:keepNext/>
              <w:keepLines/>
              <w:tabs>
                <w:tab w:val="left" w:pos="567"/>
                <w:tab w:val="left" w:pos="1134"/>
                <w:tab w:val="left" w:pos="1701"/>
                <w:tab w:val="left" w:pos="2268"/>
              </w:tabs>
              <w:ind w:firstLine="450"/>
              <w:jc w:val="right"/>
              <w:rPr>
                <w:rFonts w:cs="Arial"/>
                <w:bCs/>
                <w:sz w:val="18"/>
                <w:szCs w:val="18"/>
              </w:rPr>
            </w:pPr>
            <w:r w:rsidRPr="00D53294">
              <w:rPr>
                <w:rFonts w:cs="Arial"/>
                <w:sz w:val="18"/>
                <w:szCs w:val="18"/>
              </w:rPr>
              <w:t>2012</w:t>
            </w:r>
          </w:p>
          <w:p w:rsidR="00D53294" w:rsidRPr="00D53294" w:rsidRDefault="00D53294" w:rsidP="00704CC0">
            <w:pPr>
              <w:keepNext/>
              <w:keepLines/>
              <w:tabs>
                <w:tab w:val="left" w:pos="567"/>
                <w:tab w:val="left" w:pos="1134"/>
                <w:tab w:val="left" w:pos="1701"/>
                <w:tab w:val="left" w:pos="2268"/>
              </w:tabs>
              <w:ind w:firstLine="450"/>
              <w:jc w:val="right"/>
              <w:rPr>
                <w:rFonts w:cs="Arial"/>
                <w:bCs/>
                <w:sz w:val="18"/>
                <w:szCs w:val="18"/>
              </w:rPr>
            </w:pPr>
            <w:r w:rsidRPr="00D53294">
              <w:rPr>
                <w:rFonts w:cs="Arial"/>
                <w:bCs/>
                <w:sz w:val="18"/>
                <w:szCs w:val="18"/>
              </w:rPr>
              <w:t>£’000</w:t>
            </w:r>
          </w:p>
        </w:tc>
      </w:tr>
      <w:tr w:rsidR="00F23BCB" w:rsidRPr="00D53294" w:rsidTr="00562F9C">
        <w:trPr>
          <w:trHeight w:val="20"/>
        </w:trPr>
        <w:tc>
          <w:tcPr>
            <w:tcW w:w="3129" w:type="pct"/>
            <w:tcBorders>
              <w:left w:val="nil"/>
              <w:bottom w:val="nil"/>
              <w:right w:val="nil"/>
            </w:tcBorders>
            <w:shd w:val="clear" w:color="auto" w:fill="auto"/>
            <w:noWrap/>
            <w:vAlign w:val="center"/>
          </w:tcPr>
          <w:p w:rsidR="00F23BCB" w:rsidRPr="00D53294" w:rsidRDefault="00F23BCB" w:rsidP="00704CC0">
            <w:pPr>
              <w:keepNext/>
              <w:keepLines/>
              <w:tabs>
                <w:tab w:val="left" w:pos="567"/>
                <w:tab w:val="left" w:pos="1134"/>
                <w:tab w:val="left" w:pos="1701"/>
                <w:tab w:val="left" w:pos="2268"/>
              </w:tabs>
              <w:ind w:left="567"/>
              <w:rPr>
                <w:rFonts w:cs="Arial"/>
                <w:b/>
                <w:sz w:val="18"/>
                <w:szCs w:val="18"/>
              </w:rPr>
            </w:pPr>
            <w:r w:rsidRPr="00D53294">
              <w:rPr>
                <w:rFonts w:cs="Arial"/>
                <w:b/>
                <w:sz w:val="18"/>
                <w:szCs w:val="18"/>
              </w:rPr>
              <w:t>Change by +50 basis points</w:t>
            </w:r>
          </w:p>
        </w:tc>
        <w:tc>
          <w:tcPr>
            <w:tcW w:w="935" w:type="pct"/>
            <w:tcBorders>
              <w:left w:val="nil"/>
              <w:right w:val="nil"/>
            </w:tcBorders>
            <w:vAlign w:val="center"/>
          </w:tcPr>
          <w:p w:rsidR="00F23BCB" w:rsidRPr="00D53294" w:rsidRDefault="00F23BCB" w:rsidP="00704CC0">
            <w:pPr>
              <w:keepNext/>
              <w:keepLines/>
              <w:tabs>
                <w:tab w:val="left" w:pos="567"/>
                <w:tab w:val="left" w:pos="1134"/>
                <w:tab w:val="left" w:pos="1701"/>
                <w:tab w:val="left" w:pos="2268"/>
              </w:tabs>
              <w:autoSpaceDE w:val="0"/>
              <w:autoSpaceDN w:val="0"/>
              <w:adjustRightInd w:val="0"/>
              <w:ind w:firstLine="450"/>
              <w:jc w:val="right"/>
              <w:rPr>
                <w:rFonts w:cs="Arial"/>
                <w:b/>
                <w:color w:val="000000"/>
                <w:sz w:val="18"/>
                <w:szCs w:val="18"/>
              </w:rPr>
            </w:pPr>
          </w:p>
        </w:tc>
        <w:tc>
          <w:tcPr>
            <w:tcW w:w="936" w:type="pct"/>
            <w:tcBorders>
              <w:left w:val="nil"/>
              <w:right w:val="nil"/>
            </w:tcBorders>
            <w:vAlign w:val="center"/>
          </w:tcPr>
          <w:p w:rsidR="00F23BCB" w:rsidRPr="00D53294" w:rsidRDefault="00F23BCB" w:rsidP="00704CC0">
            <w:pPr>
              <w:keepNext/>
              <w:keepLines/>
              <w:tabs>
                <w:tab w:val="left" w:pos="567"/>
                <w:tab w:val="left" w:pos="1134"/>
                <w:tab w:val="left" w:pos="1701"/>
                <w:tab w:val="left" w:pos="2268"/>
              </w:tabs>
              <w:autoSpaceDE w:val="0"/>
              <w:autoSpaceDN w:val="0"/>
              <w:adjustRightInd w:val="0"/>
              <w:ind w:firstLine="450"/>
              <w:jc w:val="right"/>
              <w:rPr>
                <w:rFonts w:cs="Arial"/>
                <w:color w:val="000000"/>
                <w:sz w:val="18"/>
                <w:szCs w:val="18"/>
              </w:rPr>
            </w:pPr>
          </w:p>
        </w:tc>
      </w:tr>
      <w:tr w:rsidR="00372509" w:rsidRPr="00D53294" w:rsidTr="00562F9C">
        <w:trPr>
          <w:trHeight w:val="20"/>
        </w:trPr>
        <w:tc>
          <w:tcPr>
            <w:tcW w:w="3129" w:type="pct"/>
            <w:tcBorders>
              <w:left w:val="nil"/>
              <w:bottom w:val="nil"/>
              <w:right w:val="nil"/>
            </w:tcBorders>
            <w:shd w:val="clear" w:color="auto" w:fill="auto"/>
            <w:noWrap/>
            <w:vAlign w:val="center"/>
          </w:tcPr>
          <w:p w:rsidR="00372509" w:rsidRPr="00D53294" w:rsidRDefault="00372509" w:rsidP="00704CC0">
            <w:pPr>
              <w:keepNext/>
              <w:keepLines/>
              <w:tabs>
                <w:tab w:val="left" w:pos="567"/>
                <w:tab w:val="left" w:pos="1134"/>
                <w:tab w:val="left" w:pos="1701"/>
                <w:tab w:val="left" w:pos="2268"/>
              </w:tabs>
              <w:ind w:left="567"/>
              <w:rPr>
                <w:rFonts w:cs="Arial"/>
                <w:b/>
                <w:sz w:val="18"/>
                <w:szCs w:val="18"/>
              </w:rPr>
            </w:pPr>
            <w:r w:rsidRPr="00D53294">
              <w:rPr>
                <w:rFonts w:cs="Arial"/>
                <w:sz w:val="18"/>
                <w:szCs w:val="18"/>
              </w:rPr>
              <w:t>Weighted average cost of capital</w:t>
            </w:r>
          </w:p>
        </w:tc>
        <w:tc>
          <w:tcPr>
            <w:tcW w:w="935" w:type="pct"/>
            <w:tcBorders>
              <w:left w:val="nil"/>
              <w:right w:val="nil"/>
            </w:tcBorders>
            <w:vAlign w:val="center"/>
          </w:tcPr>
          <w:p w:rsidR="00372509" w:rsidRPr="00D53294" w:rsidRDefault="00372509" w:rsidP="00704CC0">
            <w:pPr>
              <w:keepNext/>
              <w:keepLines/>
              <w:tabs>
                <w:tab w:val="left" w:pos="567"/>
                <w:tab w:val="left" w:pos="1134"/>
                <w:tab w:val="left" w:pos="1701"/>
                <w:tab w:val="left" w:pos="2268"/>
              </w:tabs>
              <w:autoSpaceDE w:val="0"/>
              <w:autoSpaceDN w:val="0"/>
              <w:adjustRightInd w:val="0"/>
              <w:ind w:firstLine="450"/>
              <w:jc w:val="right"/>
              <w:rPr>
                <w:rFonts w:cs="Arial"/>
                <w:b/>
                <w:color w:val="000000"/>
                <w:sz w:val="18"/>
                <w:szCs w:val="18"/>
              </w:rPr>
            </w:pPr>
            <w:r w:rsidRPr="00D53294">
              <w:rPr>
                <w:rFonts w:cs="Arial"/>
                <w:b/>
                <w:color w:val="000000"/>
                <w:sz w:val="18"/>
                <w:szCs w:val="18"/>
              </w:rPr>
              <w:t>(289)</w:t>
            </w:r>
          </w:p>
        </w:tc>
        <w:tc>
          <w:tcPr>
            <w:tcW w:w="936" w:type="pct"/>
            <w:tcBorders>
              <w:left w:val="nil"/>
              <w:right w:val="nil"/>
            </w:tcBorders>
            <w:vAlign w:val="center"/>
          </w:tcPr>
          <w:p w:rsidR="00372509" w:rsidRPr="00D53294" w:rsidRDefault="00372509" w:rsidP="00704CC0">
            <w:pPr>
              <w:keepNext/>
              <w:keepLines/>
              <w:tabs>
                <w:tab w:val="left" w:pos="567"/>
                <w:tab w:val="left" w:pos="1134"/>
                <w:tab w:val="left" w:pos="1701"/>
                <w:tab w:val="left" w:pos="2268"/>
              </w:tabs>
              <w:autoSpaceDE w:val="0"/>
              <w:autoSpaceDN w:val="0"/>
              <w:adjustRightInd w:val="0"/>
              <w:ind w:firstLine="450"/>
              <w:jc w:val="right"/>
              <w:rPr>
                <w:rFonts w:cs="Arial"/>
                <w:color w:val="000000"/>
                <w:sz w:val="18"/>
                <w:szCs w:val="18"/>
              </w:rPr>
            </w:pPr>
            <w:r w:rsidRPr="00D53294">
              <w:rPr>
                <w:rFonts w:cs="Arial"/>
                <w:color w:val="000000"/>
                <w:sz w:val="18"/>
                <w:szCs w:val="18"/>
              </w:rPr>
              <w:t>(946)</w:t>
            </w:r>
          </w:p>
        </w:tc>
      </w:tr>
      <w:tr w:rsidR="00372509" w:rsidRPr="00D53294" w:rsidTr="00562F9C">
        <w:tblPrEx>
          <w:tblBorders>
            <w:bottom w:val="none" w:sz="0" w:space="0" w:color="auto"/>
          </w:tblBorders>
        </w:tblPrEx>
        <w:trPr>
          <w:trHeight w:val="20"/>
        </w:trPr>
        <w:tc>
          <w:tcPr>
            <w:tcW w:w="3129" w:type="pct"/>
            <w:tcBorders>
              <w:top w:val="nil"/>
              <w:left w:val="nil"/>
              <w:bottom w:val="nil"/>
              <w:right w:val="nil"/>
            </w:tcBorders>
            <w:shd w:val="clear" w:color="auto" w:fill="auto"/>
            <w:noWrap/>
            <w:vAlign w:val="center"/>
          </w:tcPr>
          <w:p w:rsidR="00372509" w:rsidRPr="00D53294" w:rsidRDefault="00372509" w:rsidP="00704CC0">
            <w:pPr>
              <w:keepNext/>
              <w:keepLines/>
              <w:tabs>
                <w:tab w:val="left" w:pos="567"/>
                <w:tab w:val="left" w:pos="1134"/>
                <w:tab w:val="left" w:pos="1701"/>
                <w:tab w:val="left" w:pos="2268"/>
              </w:tabs>
              <w:ind w:left="567"/>
              <w:rPr>
                <w:rFonts w:cs="Arial"/>
                <w:sz w:val="18"/>
                <w:szCs w:val="18"/>
              </w:rPr>
            </w:pPr>
            <w:r w:rsidRPr="00D53294">
              <w:rPr>
                <w:rFonts w:cs="Arial"/>
                <w:sz w:val="18"/>
                <w:szCs w:val="18"/>
              </w:rPr>
              <w:t>Long term growth rate</w:t>
            </w:r>
          </w:p>
        </w:tc>
        <w:tc>
          <w:tcPr>
            <w:tcW w:w="935" w:type="pct"/>
            <w:tcBorders>
              <w:top w:val="nil"/>
              <w:left w:val="nil"/>
              <w:right w:val="nil"/>
            </w:tcBorders>
            <w:vAlign w:val="center"/>
          </w:tcPr>
          <w:p w:rsidR="00372509" w:rsidRPr="00D53294" w:rsidRDefault="00372509" w:rsidP="00704CC0">
            <w:pPr>
              <w:keepNext/>
              <w:keepLines/>
              <w:tabs>
                <w:tab w:val="left" w:pos="567"/>
                <w:tab w:val="left" w:pos="1134"/>
                <w:tab w:val="left" w:pos="1701"/>
                <w:tab w:val="left" w:pos="2268"/>
              </w:tabs>
              <w:autoSpaceDE w:val="0"/>
              <w:autoSpaceDN w:val="0"/>
              <w:adjustRightInd w:val="0"/>
              <w:ind w:firstLine="450"/>
              <w:jc w:val="right"/>
              <w:rPr>
                <w:rFonts w:cs="Arial"/>
                <w:b/>
                <w:color w:val="000000"/>
                <w:sz w:val="18"/>
                <w:szCs w:val="18"/>
              </w:rPr>
            </w:pPr>
            <w:r w:rsidRPr="00D53294">
              <w:rPr>
                <w:rFonts w:cs="Arial"/>
                <w:b/>
                <w:color w:val="000000"/>
                <w:sz w:val="18"/>
                <w:szCs w:val="18"/>
              </w:rPr>
              <w:t>281</w:t>
            </w:r>
          </w:p>
        </w:tc>
        <w:tc>
          <w:tcPr>
            <w:tcW w:w="936" w:type="pct"/>
            <w:tcBorders>
              <w:top w:val="nil"/>
              <w:left w:val="nil"/>
              <w:right w:val="nil"/>
            </w:tcBorders>
            <w:vAlign w:val="center"/>
          </w:tcPr>
          <w:p w:rsidR="00372509" w:rsidRPr="00D53294" w:rsidRDefault="00372509" w:rsidP="00704CC0">
            <w:pPr>
              <w:keepNext/>
              <w:keepLines/>
              <w:tabs>
                <w:tab w:val="left" w:pos="567"/>
                <w:tab w:val="left" w:pos="1134"/>
                <w:tab w:val="left" w:pos="1701"/>
                <w:tab w:val="left" w:pos="2268"/>
              </w:tabs>
              <w:autoSpaceDE w:val="0"/>
              <w:autoSpaceDN w:val="0"/>
              <w:adjustRightInd w:val="0"/>
              <w:ind w:firstLine="450"/>
              <w:jc w:val="right"/>
              <w:rPr>
                <w:rFonts w:cs="Arial"/>
                <w:color w:val="000000"/>
                <w:sz w:val="18"/>
                <w:szCs w:val="18"/>
              </w:rPr>
            </w:pPr>
            <w:r w:rsidRPr="00D53294">
              <w:rPr>
                <w:rFonts w:cs="Arial"/>
                <w:color w:val="000000"/>
                <w:sz w:val="18"/>
                <w:szCs w:val="18"/>
              </w:rPr>
              <w:t>351</w:t>
            </w:r>
          </w:p>
        </w:tc>
      </w:tr>
      <w:tr w:rsidR="00372509" w:rsidRPr="00D53294" w:rsidTr="00562F9C">
        <w:tblPrEx>
          <w:tblBorders>
            <w:bottom w:val="none" w:sz="0" w:space="0" w:color="auto"/>
          </w:tblBorders>
        </w:tblPrEx>
        <w:trPr>
          <w:trHeight w:val="20"/>
        </w:trPr>
        <w:tc>
          <w:tcPr>
            <w:tcW w:w="3129" w:type="pct"/>
            <w:tcBorders>
              <w:top w:val="nil"/>
              <w:left w:val="nil"/>
              <w:bottom w:val="nil"/>
              <w:right w:val="nil"/>
            </w:tcBorders>
            <w:shd w:val="clear" w:color="auto" w:fill="auto"/>
            <w:noWrap/>
            <w:vAlign w:val="center"/>
          </w:tcPr>
          <w:p w:rsidR="00372509" w:rsidRPr="00D53294" w:rsidRDefault="00372509" w:rsidP="00704CC0">
            <w:pPr>
              <w:keepNext/>
              <w:keepLines/>
              <w:tabs>
                <w:tab w:val="left" w:pos="567"/>
                <w:tab w:val="left" w:pos="1134"/>
                <w:tab w:val="left" w:pos="1701"/>
                <w:tab w:val="left" w:pos="2268"/>
              </w:tabs>
              <w:ind w:left="567"/>
              <w:rPr>
                <w:rFonts w:cs="Arial"/>
                <w:sz w:val="18"/>
                <w:szCs w:val="18"/>
              </w:rPr>
            </w:pPr>
            <w:r w:rsidRPr="00D53294">
              <w:rPr>
                <w:rFonts w:cs="Arial"/>
                <w:b/>
                <w:sz w:val="18"/>
                <w:szCs w:val="18"/>
              </w:rPr>
              <w:t>Change by -50 basis points</w:t>
            </w:r>
          </w:p>
        </w:tc>
        <w:tc>
          <w:tcPr>
            <w:tcW w:w="935" w:type="pct"/>
            <w:tcBorders>
              <w:top w:val="nil"/>
              <w:left w:val="nil"/>
              <w:right w:val="nil"/>
            </w:tcBorders>
            <w:vAlign w:val="center"/>
          </w:tcPr>
          <w:p w:rsidR="00372509" w:rsidRPr="00D53294" w:rsidRDefault="00372509" w:rsidP="00704CC0">
            <w:pPr>
              <w:keepNext/>
              <w:keepLines/>
              <w:tabs>
                <w:tab w:val="left" w:pos="567"/>
                <w:tab w:val="left" w:pos="1134"/>
                <w:tab w:val="left" w:pos="1701"/>
                <w:tab w:val="left" w:pos="2268"/>
              </w:tabs>
              <w:autoSpaceDE w:val="0"/>
              <w:autoSpaceDN w:val="0"/>
              <w:adjustRightInd w:val="0"/>
              <w:ind w:firstLine="450"/>
              <w:jc w:val="right"/>
              <w:rPr>
                <w:rFonts w:cs="Arial"/>
                <w:b/>
                <w:color w:val="000000"/>
                <w:sz w:val="18"/>
                <w:szCs w:val="18"/>
              </w:rPr>
            </w:pPr>
          </w:p>
        </w:tc>
        <w:tc>
          <w:tcPr>
            <w:tcW w:w="936" w:type="pct"/>
            <w:tcBorders>
              <w:top w:val="nil"/>
              <w:left w:val="nil"/>
              <w:right w:val="nil"/>
            </w:tcBorders>
            <w:vAlign w:val="center"/>
          </w:tcPr>
          <w:p w:rsidR="00372509" w:rsidRPr="00D53294" w:rsidRDefault="00372509" w:rsidP="00704CC0">
            <w:pPr>
              <w:keepNext/>
              <w:keepLines/>
              <w:tabs>
                <w:tab w:val="left" w:pos="567"/>
                <w:tab w:val="left" w:pos="1134"/>
                <w:tab w:val="left" w:pos="1701"/>
                <w:tab w:val="left" w:pos="2268"/>
              </w:tabs>
              <w:autoSpaceDE w:val="0"/>
              <w:autoSpaceDN w:val="0"/>
              <w:adjustRightInd w:val="0"/>
              <w:ind w:firstLine="450"/>
              <w:jc w:val="right"/>
              <w:rPr>
                <w:rFonts w:cs="Arial"/>
                <w:color w:val="000000"/>
                <w:sz w:val="18"/>
                <w:szCs w:val="18"/>
              </w:rPr>
            </w:pPr>
          </w:p>
        </w:tc>
      </w:tr>
      <w:tr w:rsidR="00372509" w:rsidRPr="00D53294" w:rsidTr="00562F9C">
        <w:tblPrEx>
          <w:tblBorders>
            <w:bottom w:val="none" w:sz="0" w:space="0" w:color="auto"/>
          </w:tblBorders>
        </w:tblPrEx>
        <w:trPr>
          <w:trHeight w:val="20"/>
        </w:trPr>
        <w:tc>
          <w:tcPr>
            <w:tcW w:w="3129" w:type="pct"/>
            <w:tcBorders>
              <w:top w:val="nil"/>
              <w:left w:val="nil"/>
              <w:bottom w:val="nil"/>
              <w:right w:val="nil"/>
            </w:tcBorders>
            <w:shd w:val="clear" w:color="auto" w:fill="auto"/>
            <w:noWrap/>
            <w:vAlign w:val="center"/>
          </w:tcPr>
          <w:p w:rsidR="00372509" w:rsidRPr="00D53294" w:rsidRDefault="00372509" w:rsidP="00704CC0">
            <w:pPr>
              <w:keepNext/>
              <w:keepLines/>
              <w:tabs>
                <w:tab w:val="left" w:pos="567"/>
                <w:tab w:val="left" w:pos="1134"/>
                <w:tab w:val="left" w:pos="1701"/>
                <w:tab w:val="left" w:pos="2268"/>
              </w:tabs>
              <w:ind w:left="567"/>
              <w:rPr>
                <w:rFonts w:cs="Arial"/>
                <w:b/>
                <w:sz w:val="18"/>
                <w:szCs w:val="18"/>
              </w:rPr>
            </w:pPr>
            <w:r w:rsidRPr="00D53294">
              <w:rPr>
                <w:rFonts w:cs="Arial"/>
                <w:sz w:val="18"/>
                <w:szCs w:val="18"/>
              </w:rPr>
              <w:t>Weighted average cost of capital</w:t>
            </w:r>
          </w:p>
        </w:tc>
        <w:tc>
          <w:tcPr>
            <w:tcW w:w="935" w:type="pct"/>
            <w:tcBorders>
              <w:top w:val="nil"/>
              <w:left w:val="nil"/>
              <w:right w:val="nil"/>
            </w:tcBorders>
            <w:vAlign w:val="center"/>
          </w:tcPr>
          <w:p w:rsidR="00372509" w:rsidRPr="00D53294" w:rsidRDefault="00372509" w:rsidP="00704CC0">
            <w:pPr>
              <w:keepNext/>
              <w:keepLines/>
              <w:tabs>
                <w:tab w:val="left" w:pos="567"/>
                <w:tab w:val="left" w:pos="1134"/>
                <w:tab w:val="left" w:pos="1701"/>
                <w:tab w:val="left" w:pos="2268"/>
              </w:tabs>
              <w:autoSpaceDE w:val="0"/>
              <w:autoSpaceDN w:val="0"/>
              <w:adjustRightInd w:val="0"/>
              <w:ind w:firstLine="450"/>
              <w:jc w:val="right"/>
              <w:rPr>
                <w:rFonts w:cs="Arial"/>
                <w:b/>
                <w:color w:val="000000"/>
                <w:sz w:val="18"/>
                <w:szCs w:val="18"/>
              </w:rPr>
            </w:pPr>
            <w:r w:rsidRPr="00D53294">
              <w:rPr>
                <w:rFonts w:cs="Arial"/>
                <w:b/>
                <w:color w:val="000000"/>
                <w:sz w:val="18"/>
                <w:szCs w:val="18"/>
              </w:rPr>
              <w:t>326</w:t>
            </w:r>
          </w:p>
        </w:tc>
        <w:tc>
          <w:tcPr>
            <w:tcW w:w="936" w:type="pct"/>
            <w:tcBorders>
              <w:top w:val="nil"/>
              <w:left w:val="nil"/>
              <w:right w:val="nil"/>
            </w:tcBorders>
            <w:vAlign w:val="center"/>
          </w:tcPr>
          <w:p w:rsidR="00372509" w:rsidRPr="00D53294" w:rsidRDefault="00372509" w:rsidP="00704CC0">
            <w:pPr>
              <w:keepNext/>
              <w:keepLines/>
              <w:tabs>
                <w:tab w:val="left" w:pos="567"/>
                <w:tab w:val="left" w:pos="1134"/>
                <w:tab w:val="left" w:pos="1701"/>
                <w:tab w:val="left" w:pos="2268"/>
              </w:tabs>
              <w:autoSpaceDE w:val="0"/>
              <w:autoSpaceDN w:val="0"/>
              <w:adjustRightInd w:val="0"/>
              <w:ind w:firstLine="450"/>
              <w:jc w:val="right"/>
              <w:rPr>
                <w:rFonts w:cs="Arial"/>
                <w:color w:val="000000"/>
                <w:sz w:val="18"/>
                <w:szCs w:val="18"/>
              </w:rPr>
            </w:pPr>
            <w:r w:rsidRPr="00D53294">
              <w:rPr>
                <w:rFonts w:cs="Arial"/>
                <w:bCs/>
                <w:color w:val="000000"/>
                <w:sz w:val="18"/>
                <w:szCs w:val="18"/>
              </w:rPr>
              <w:t>458</w:t>
            </w:r>
          </w:p>
        </w:tc>
      </w:tr>
      <w:tr w:rsidR="00372509" w:rsidRPr="00D53294" w:rsidTr="00562F9C">
        <w:tblPrEx>
          <w:tblBorders>
            <w:bottom w:val="none" w:sz="0" w:space="0" w:color="auto"/>
          </w:tblBorders>
        </w:tblPrEx>
        <w:trPr>
          <w:trHeight w:val="20"/>
        </w:trPr>
        <w:tc>
          <w:tcPr>
            <w:tcW w:w="3129" w:type="pct"/>
            <w:tcBorders>
              <w:top w:val="nil"/>
              <w:left w:val="nil"/>
              <w:bottom w:val="nil"/>
              <w:right w:val="nil"/>
            </w:tcBorders>
            <w:shd w:val="clear" w:color="auto" w:fill="auto"/>
            <w:noWrap/>
            <w:vAlign w:val="center"/>
          </w:tcPr>
          <w:p w:rsidR="00372509" w:rsidRPr="00D53294" w:rsidRDefault="00372509" w:rsidP="00704CC0">
            <w:pPr>
              <w:tabs>
                <w:tab w:val="left" w:pos="567"/>
                <w:tab w:val="left" w:pos="1134"/>
                <w:tab w:val="left" w:pos="1701"/>
                <w:tab w:val="left" w:pos="2268"/>
              </w:tabs>
              <w:ind w:left="567"/>
              <w:rPr>
                <w:rFonts w:cs="Arial"/>
                <w:sz w:val="18"/>
                <w:szCs w:val="18"/>
              </w:rPr>
            </w:pPr>
            <w:r w:rsidRPr="00D53294">
              <w:rPr>
                <w:rFonts w:cs="Arial"/>
                <w:sz w:val="18"/>
                <w:szCs w:val="18"/>
              </w:rPr>
              <w:t>Long term growth rate</w:t>
            </w:r>
          </w:p>
        </w:tc>
        <w:tc>
          <w:tcPr>
            <w:tcW w:w="935" w:type="pct"/>
            <w:tcBorders>
              <w:top w:val="nil"/>
              <w:left w:val="nil"/>
              <w:right w:val="nil"/>
            </w:tcBorders>
            <w:vAlign w:val="center"/>
          </w:tcPr>
          <w:p w:rsidR="00372509" w:rsidRPr="00D53294" w:rsidRDefault="00372509" w:rsidP="00704CC0">
            <w:pPr>
              <w:tabs>
                <w:tab w:val="left" w:pos="567"/>
                <w:tab w:val="left" w:pos="1134"/>
                <w:tab w:val="left" w:pos="1701"/>
                <w:tab w:val="left" w:pos="2268"/>
              </w:tabs>
              <w:autoSpaceDE w:val="0"/>
              <w:autoSpaceDN w:val="0"/>
              <w:adjustRightInd w:val="0"/>
              <w:ind w:firstLine="450"/>
              <w:jc w:val="right"/>
              <w:rPr>
                <w:rFonts w:cs="Arial"/>
                <w:b/>
                <w:color w:val="000000"/>
                <w:sz w:val="18"/>
                <w:szCs w:val="18"/>
              </w:rPr>
            </w:pPr>
            <w:r w:rsidRPr="00D53294">
              <w:rPr>
                <w:rFonts w:cs="Arial"/>
                <w:b/>
                <w:color w:val="000000"/>
                <w:sz w:val="18"/>
                <w:szCs w:val="18"/>
              </w:rPr>
              <w:t>(249)</w:t>
            </w:r>
          </w:p>
        </w:tc>
        <w:tc>
          <w:tcPr>
            <w:tcW w:w="936" w:type="pct"/>
            <w:tcBorders>
              <w:top w:val="nil"/>
              <w:left w:val="nil"/>
              <w:right w:val="nil"/>
            </w:tcBorders>
            <w:vAlign w:val="center"/>
          </w:tcPr>
          <w:p w:rsidR="00372509" w:rsidRPr="00D53294" w:rsidRDefault="00372509" w:rsidP="00704CC0">
            <w:pPr>
              <w:tabs>
                <w:tab w:val="left" w:pos="567"/>
                <w:tab w:val="left" w:pos="1134"/>
                <w:tab w:val="left" w:pos="1701"/>
                <w:tab w:val="left" w:pos="2268"/>
              </w:tabs>
              <w:autoSpaceDE w:val="0"/>
              <w:autoSpaceDN w:val="0"/>
              <w:adjustRightInd w:val="0"/>
              <w:ind w:firstLine="450"/>
              <w:jc w:val="right"/>
              <w:rPr>
                <w:rFonts w:cs="Arial"/>
                <w:color w:val="000000"/>
                <w:sz w:val="18"/>
                <w:szCs w:val="18"/>
              </w:rPr>
            </w:pPr>
            <w:r w:rsidRPr="00D53294">
              <w:rPr>
                <w:rFonts w:cs="Arial"/>
                <w:color w:val="000000"/>
                <w:sz w:val="18"/>
                <w:szCs w:val="18"/>
              </w:rPr>
              <w:t>(314)</w:t>
            </w:r>
          </w:p>
        </w:tc>
      </w:tr>
    </w:tbl>
    <w:p w:rsidR="00BA1305" w:rsidRPr="00A76890" w:rsidRDefault="000D7005" w:rsidP="00704CC0">
      <w:pPr>
        <w:pStyle w:val="Normal3-Sub-para"/>
        <w:spacing w:line="240" w:lineRule="auto"/>
        <w:ind w:left="567"/>
      </w:pPr>
      <w:r w:rsidRPr="00A76890">
        <w:t xml:space="preserve">For </w:t>
      </w:r>
      <w:r w:rsidR="00F23BCB" w:rsidRPr="00A76890">
        <w:t xml:space="preserve">the remaining investments classified as </w:t>
      </w:r>
      <w:r w:rsidR="00117A85" w:rsidRPr="00A76890">
        <w:t>L</w:t>
      </w:r>
      <w:r w:rsidR="00F23BCB" w:rsidRPr="00A76890">
        <w:t xml:space="preserve">evel 3, due to the absence of any reasonably possible alternative assumptions for these investments, </w:t>
      </w:r>
      <w:r w:rsidR="00214984" w:rsidRPr="00A76890">
        <w:t xml:space="preserve">a </w:t>
      </w:r>
      <w:r w:rsidR="00F23BCB" w:rsidRPr="00A76890">
        <w:t>sensitivity analysis has not been performed.</w:t>
      </w:r>
    </w:p>
    <w:p w:rsidR="00863596" w:rsidRPr="00D53294" w:rsidRDefault="0092140F" w:rsidP="00704CC0">
      <w:pPr>
        <w:keepNext/>
        <w:keepLines/>
        <w:numPr>
          <w:ilvl w:val="0"/>
          <w:numId w:val="4"/>
        </w:numPr>
        <w:tabs>
          <w:tab w:val="clear" w:pos="810"/>
          <w:tab w:val="left" w:pos="567"/>
          <w:tab w:val="left" w:pos="1134"/>
          <w:tab w:val="left" w:pos="1701"/>
          <w:tab w:val="left" w:pos="2268"/>
        </w:tabs>
        <w:spacing w:before="240"/>
        <w:ind w:left="567" w:hanging="567"/>
        <w:rPr>
          <w:rFonts w:cs="Arial"/>
          <w:b/>
        </w:rPr>
      </w:pPr>
      <w:r w:rsidRPr="00D53294">
        <w:rPr>
          <w:rFonts w:cs="Arial"/>
          <w:b/>
        </w:rPr>
        <w:t>Capital management policies and procedures</w:t>
      </w:r>
    </w:p>
    <w:p w:rsidR="0092140F" w:rsidRPr="00A76890" w:rsidRDefault="0092140F" w:rsidP="00704CC0">
      <w:pPr>
        <w:pStyle w:val="Normal3-Sub-para"/>
        <w:spacing w:line="240" w:lineRule="auto"/>
        <w:ind w:left="567"/>
      </w:pPr>
      <w:r w:rsidRPr="00A76890">
        <w:t xml:space="preserve">The Group’s capital management objectives are: </w:t>
      </w:r>
      <w:r w:rsidRPr="00A76890">
        <w:cr/>
      </w:r>
      <w:r w:rsidR="00D53294">
        <w:t>(i)</w:t>
      </w:r>
      <w:r w:rsidR="00D53294">
        <w:tab/>
      </w:r>
      <w:r w:rsidRPr="00A76890">
        <w:t>to ensure the Group's ability to continue as a going concern; and</w:t>
      </w:r>
    </w:p>
    <w:p w:rsidR="0092140F" w:rsidRPr="00A76890" w:rsidRDefault="00D53294" w:rsidP="00704CC0">
      <w:pPr>
        <w:pStyle w:val="Normal3-Sub-para"/>
        <w:spacing w:line="240" w:lineRule="auto"/>
        <w:ind w:left="1134" w:hanging="567"/>
      </w:pPr>
      <w:r>
        <w:t>(ii)</w:t>
      </w:r>
      <w:r>
        <w:tab/>
      </w:r>
      <w:proofErr w:type="gramStart"/>
      <w:r w:rsidR="0092140F" w:rsidRPr="00A76890">
        <w:t>to</w:t>
      </w:r>
      <w:proofErr w:type="gramEnd"/>
      <w:r w:rsidR="0092140F" w:rsidRPr="00A76890">
        <w:t xml:space="preserve"> provide an adequate return to shareholders by investing in opportunities that are established or operating primarily in India and where there is a high quality, well proven management team in place. </w:t>
      </w:r>
    </w:p>
    <w:p w:rsidR="000605C5" w:rsidRPr="00A76890" w:rsidRDefault="0092140F" w:rsidP="00704CC0">
      <w:pPr>
        <w:pStyle w:val="Normal2-Para"/>
        <w:spacing w:line="240" w:lineRule="auto"/>
        <w:ind w:left="567"/>
      </w:pPr>
      <w:r w:rsidRPr="00A76890">
        <w:t xml:space="preserve">The Group invests in both private and public businesses and across the small, mid and large-cap range of companies and actively manages a concentrated portfolio of investments. It manages its affairs to generate shareholder returns primarily through capital growth, and monitors the achievement of this through growth in net asset value per share. </w:t>
      </w:r>
      <w:r w:rsidR="00C22FD1" w:rsidRPr="00A76890">
        <w:t>The c</w:t>
      </w:r>
      <w:r w:rsidR="0085131C" w:rsidRPr="00A76890">
        <w:t xml:space="preserve">apital structure of the Group represents only shareholders’ funds in the form of share capital, share premium and reserves. </w:t>
      </w:r>
      <w:r w:rsidR="00C22FD1" w:rsidRPr="00A76890">
        <w:t>T</w:t>
      </w:r>
      <w:r w:rsidR="0085131C" w:rsidRPr="00A76890">
        <w:t>he Group does</w:t>
      </w:r>
      <w:r w:rsidR="00420232" w:rsidRPr="00A76890">
        <w:t xml:space="preserve"> </w:t>
      </w:r>
      <w:r w:rsidR="0085131C" w:rsidRPr="00A76890">
        <w:t>n</w:t>
      </w:r>
      <w:r w:rsidR="00420232" w:rsidRPr="00A76890">
        <w:t>o</w:t>
      </w:r>
      <w:r w:rsidR="0085131C" w:rsidRPr="00A76890">
        <w:t xml:space="preserve">t </w:t>
      </w:r>
      <w:r w:rsidR="00C22FD1" w:rsidRPr="00A76890">
        <w:t xml:space="preserve">have any </w:t>
      </w:r>
      <w:r w:rsidR="00420232" w:rsidRPr="00A76890">
        <w:t xml:space="preserve">external </w:t>
      </w:r>
      <w:r w:rsidR="00C22FD1" w:rsidRPr="00A76890">
        <w:t>debt.</w:t>
      </w:r>
      <w:r w:rsidRPr="00A76890">
        <w:t xml:space="preserve"> The Group</w:t>
      </w:r>
      <w:r w:rsidR="00B63E9C" w:rsidRPr="00A76890">
        <w:t xml:space="preserve"> </w:t>
      </w:r>
      <w:r w:rsidRPr="00A76890">
        <w:t>is not subject to externally imposed capital requirements.</w:t>
      </w:r>
    </w:p>
    <w:p w:rsidR="00863596" w:rsidRPr="00D53294" w:rsidRDefault="0092140F" w:rsidP="00704CC0">
      <w:pPr>
        <w:keepNext/>
        <w:keepLines/>
        <w:numPr>
          <w:ilvl w:val="0"/>
          <w:numId w:val="4"/>
        </w:numPr>
        <w:tabs>
          <w:tab w:val="clear" w:pos="810"/>
          <w:tab w:val="left" w:pos="567"/>
          <w:tab w:val="left" w:pos="1134"/>
          <w:tab w:val="left" w:pos="1701"/>
          <w:tab w:val="left" w:pos="2268"/>
        </w:tabs>
        <w:spacing w:before="240"/>
        <w:ind w:left="567" w:hanging="567"/>
        <w:rPr>
          <w:rFonts w:cs="Arial"/>
          <w:b/>
        </w:rPr>
      </w:pPr>
      <w:r w:rsidRPr="00D53294">
        <w:rPr>
          <w:rFonts w:cs="Arial"/>
          <w:b/>
        </w:rPr>
        <w:t>Events after the reporting date</w:t>
      </w:r>
    </w:p>
    <w:p w:rsidR="0092140F" w:rsidRPr="00A76890" w:rsidRDefault="00BF62A1" w:rsidP="00704CC0">
      <w:pPr>
        <w:pStyle w:val="Normal2-Para"/>
        <w:numPr>
          <w:ilvl w:val="0"/>
          <w:numId w:val="20"/>
        </w:numPr>
        <w:spacing w:line="240" w:lineRule="auto"/>
        <w:ind w:left="1134" w:hanging="567"/>
        <w:rPr>
          <w:b/>
        </w:rPr>
      </w:pPr>
      <w:r w:rsidRPr="00A76890">
        <w:t>Mahindra CIE Automotive Ltd.</w:t>
      </w:r>
      <w:r w:rsidR="00BF5A40" w:rsidRPr="00A76890">
        <w:t xml:space="preserve"> </w:t>
      </w:r>
      <w:r w:rsidRPr="00A76890">
        <w:t>(“MC</w:t>
      </w:r>
      <w:r w:rsidR="00470E7F" w:rsidRPr="00A76890">
        <w:t>A</w:t>
      </w:r>
      <w:r w:rsidRPr="00A76890">
        <w:t>L”)-In October 2013, the Company sold 1,744 thousand shares of MC</w:t>
      </w:r>
      <w:r w:rsidR="009444A4" w:rsidRPr="00A76890">
        <w:t>A</w:t>
      </w:r>
      <w:r w:rsidRPr="00A76890">
        <w:t>L for an aggregate consideration of GBP 1,425 thousand. The sale resulted in an overall loss of GBP 1,706 thousand (being the excess of original cost of GBP 3,131 thousand over the sale proceeds of GBP 1</w:t>
      </w:r>
      <w:r w:rsidR="00BF5A40" w:rsidRPr="00A76890">
        <w:t>,</w:t>
      </w:r>
      <w:r w:rsidRPr="00A76890">
        <w:t>425 thousand). The amount of gain after the reporting date is GBP 347 thousand (being the excess of sale proceeds of GBP 1,425 thousand over the fair value of GBP 1,078 thousand as on 31 August 2013). Subsequent to disposal, the Company’s aggregate holding in MC</w:t>
      </w:r>
      <w:r w:rsidR="00470E7F" w:rsidRPr="00A76890">
        <w:t>A</w:t>
      </w:r>
      <w:r w:rsidRPr="00A76890">
        <w:t>L is 935 thousand shares.</w:t>
      </w:r>
    </w:p>
    <w:p w:rsidR="002A30E5" w:rsidRPr="00A76890" w:rsidRDefault="00AE30CF" w:rsidP="00704CC0">
      <w:pPr>
        <w:pStyle w:val="Normal2-Para"/>
        <w:numPr>
          <w:ilvl w:val="0"/>
          <w:numId w:val="20"/>
        </w:numPr>
        <w:spacing w:line="240" w:lineRule="auto"/>
        <w:ind w:left="1134" w:hanging="567"/>
      </w:pPr>
      <w:r w:rsidRPr="00A76890">
        <w:rPr>
          <w:color w:val="000000"/>
        </w:rPr>
        <w:t>Subsequent to the year end, there has been a</w:t>
      </w:r>
      <w:r w:rsidR="00CE08D6" w:rsidRPr="00A76890">
        <w:rPr>
          <w:color w:val="000000"/>
        </w:rPr>
        <w:t>n</w:t>
      </w:r>
      <w:r w:rsidRPr="00A76890">
        <w:rPr>
          <w:color w:val="000000"/>
        </w:rPr>
        <w:t xml:space="preserve"> </w:t>
      </w:r>
      <w:r w:rsidR="00A70012" w:rsidRPr="00A76890">
        <w:rPr>
          <w:color w:val="000000"/>
        </w:rPr>
        <w:t>increase in</w:t>
      </w:r>
      <w:r w:rsidRPr="00A76890">
        <w:rPr>
          <w:color w:val="000000"/>
        </w:rPr>
        <w:t xml:space="preserve"> the</w:t>
      </w:r>
      <w:r w:rsidRPr="00A76890">
        <w:t xml:space="preserve"> value of the Group’s listed investment, due to a </w:t>
      </w:r>
      <w:r w:rsidR="00A70012" w:rsidRPr="00A76890">
        <w:t>gain</w:t>
      </w:r>
      <w:r w:rsidRPr="00A76890">
        <w:t xml:space="preserve"> in stock </w:t>
      </w:r>
      <w:r w:rsidR="00C50373" w:rsidRPr="00A76890">
        <w:t>prices of MCAL and Nitco and favourable exchange rate movements</w:t>
      </w:r>
      <w:r w:rsidRPr="00A76890">
        <w:t xml:space="preserve">. This has </w:t>
      </w:r>
      <w:r w:rsidR="00A70012" w:rsidRPr="00A76890">
        <w:t xml:space="preserve">decreased </w:t>
      </w:r>
      <w:r w:rsidRPr="00A76890">
        <w:t>the Company’s unrealised loss</w:t>
      </w:r>
      <w:r w:rsidR="00C50373" w:rsidRPr="00A76890">
        <w:t>es</w:t>
      </w:r>
      <w:r w:rsidR="00B63E9C" w:rsidRPr="00A76890">
        <w:t xml:space="preserve"> </w:t>
      </w:r>
      <w:r w:rsidRPr="00A76890">
        <w:t xml:space="preserve">by GBP </w:t>
      </w:r>
      <w:r w:rsidR="001029BC" w:rsidRPr="00A76890">
        <w:t>62</w:t>
      </w:r>
      <w:r w:rsidRPr="00A76890">
        <w:t xml:space="preserve"> thousand.</w:t>
      </w:r>
    </w:p>
    <w:p w:rsidR="0092140F" w:rsidRPr="00A76890" w:rsidRDefault="0092140F" w:rsidP="00704CC0">
      <w:pPr>
        <w:tabs>
          <w:tab w:val="left" w:pos="567"/>
          <w:tab w:val="left" w:pos="1134"/>
          <w:tab w:val="left" w:pos="1701"/>
          <w:tab w:val="left" w:pos="2268"/>
        </w:tabs>
        <w:ind w:left="360"/>
        <w:jc w:val="right"/>
        <w:rPr>
          <w:rFonts w:cs="Arial"/>
          <w:sz w:val="22"/>
          <w:szCs w:val="22"/>
        </w:rPr>
      </w:pPr>
      <w:r w:rsidRPr="00A76890">
        <w:rPr>
          <w:rFonts w:cs="Arial"/>
          <w:sz w:val="22"/>
          <w:szCs w:val="22"/>
        </w:rPr>
        <w:tab/>
      </w:r>
      <w:r w:rsidRPr="00A76890">
        <w:rPr>
          <w:rFonts w:cs="Arial"/>
          <w:sz w:val="22"/>
          <w:szCs w:val="22"/>
        </w:rPr>
        <w:tab/>
      </w:r>
      <w:r w:rsidRPr="00A76890">
        <w:rPr>
          <w:rFonts w:cs="Arial"/>
          <w:sz w:val="22"/>
          <w:szCs w:val="22"/>
        </w:rPr>
        <w:tab/>
      </w:r>
    </w:p>
    <w:tbl>
      <w:tblPr>
        <w:tblW w:w="8953" w:type="dxa"/>
        <w:tblLayout w:type="fixed"/>
        <w:tblCellMar>
          <w:top w:w="28" w:type="dxa"/>
          <w:left w:w="57" w:type="dxa"/>
          <w:bottom w:w="28" w:type="dxa"/>
          <w:right w:w="57" w:type="dxa"/>
        </w:tblCellMar>
        <w:tblLook w:val="0000"/>
      </w:tblPr>
      <w:tblGrid>
        <w:gridCol w:w="3899"/>
        <w:gridCol w:w="1264"/>
        <w:gridCol w:w="1264"/>
        <w:gridCol w:w="1264"/>
        <w:gridCol w:w="1262"/>
      </w:tblGrid>
      <w:tr w:rsidR="003900BE" w:rsidRPr="00A76890" w:rsidTr="00562F9C">
        <w:trPr>
          <w:trHeight w:val="20"/>
        </w:trPr>
        <w:tc>
          <w:tcPr>
            <w:tcW w:w="2177" w:type="pct"/>
            <w:tcBorders>
              <w:top w:val="nil"/>
              <w:left w:val="nil"/>
              <w:right w:val="nil"/>
            </w:tcBorders>
            <w:shd w:val="clear" w:color="auto" w:fill="auto"/>
            <w:noWrap/>
            <w:vAlign w:val="bottom"/>
          </w:tcPr>
          <w:p w:rsidR="00084D77" w:rsidRPr="00D53294" w:rsidRDefault="00084D77" w:rsidP="00704CC0">
            <w:pPr>
              <w:keepNext/>
              <w:keepLines/>
              <w:tabs>
                <w:tab w:val="left" w:pos="567"/>
                <w:tab w:val="left" w:pos="1134"/>
                <w:tab w:val="left" w:pos="1701"/>
                <w:tab w:val="left" w:pos="2268"/>
              </w:tabs>
              <w:ind w:left="1134"/>
              <w:rPr>
                <w:rFonts w:cs="Arial"/>
                <w:b/>
                <w:sz w:val="18"/>
                <w:szCs w:val="18"/>
              </w:rPr>
            </w:pPr>
            <w:r w:rsidRPr="00D53294">
              <w:rPr>
                <w:rFonts w:cs="Arial"/>
                <w:b/>
                <w:sz w:val="18"/>
                <w:szCs w:val="18"/>
              </w:rPr>
              <w:t>Investments</w:t>
            </w:r>
          </w:p>
        </w:tc>
        <w:tc>
          <w:tcPr>
            <w:tcW w:w="706" w:type="pct"/>
            <w:tcBorders>
              <w:top w:val="nil"/>
              <w:left w:val="nil"/>
              <w:right w:val="nil"/>
            </w:tcBorders>
            <w:shd w:val="clear" w:color="auto" w:fill="auto"/>
            <w:vAlign w:val="bottom"/>
          </w:tcPr>
          <w:p w:rsidR="00084D77" w:rsidRPr="00D53294" w:rsidRDefault="00084D77" w:rsidP="00704CC0">
            <w:pPr>
              <w:keepNext/>
              <w:keepLines/>
              <w:tabs>
                <w:tab w:val="left" w:pos="567"/>
                <w:tab w:val="left" w:pos="1134"/>
                <w:tab w:val="left" w:pos="1701"/>
                <w:tab w:val="left" w:pos="2268"/>
              </w:tabs>
              <w:jc w:val="right"/>
              <w:rPr>
                <w:rFonts w:cs="Arial"/>
                <w:b/>
                <w:sz w:val="18"/>
                <w:szCs w:val="18"/>
              </w:rPr>
            </w:pPr>
            <w:r w:rsidRPr="00D53294">
              <w:rPr>
                <w:rFonts w:cs="Arial"/>
                <w:b/>
                <w:sz w:val="18"/>
                <w:szCs w:val="18"/>
              </w:rPr>
              <w:t>Value at 31 August 2013</w:t>
            </w:r>
          </w:p>
        </w:tc>
        <w:tc>
          <w:tcPr>
            <w:tcW w:w="706" w:type="pct"/>
            <w:tcBorders>
              <w:top w:val="nil"/>
              <w:left w:val="nil"/>
              <w:right w:val="nil"/>
            </w:tcBorders>
            <w:shd w:val="clear" w:color="auto" w:fill="auto"/>
            <w:noWrap/>
            <w:vAlign w:val="bottom"/>
          </w:tcPr>
          <w:p w:rsidR="00084D77" w:rsidRPr="00D53294" w:rsidRDefault="00084D77" w:rsidP="00704CC0">
            <w:pPr>
              <w:keepNext/>
              <w:keepLines/>
              <w:tabs>
                <w:tab w:val="left" w:pos="567"/>
                <w:tab w:val="left" w:pos="1134"/>
                <w:tab w:val="left" w:pos="1701"/>
                <w:tab w:val="left" w:pos="2268"/>
              </w:tabs>
              <w:jc w:val="right"/>
              <w:rPr>
                <w:rFonts w:cs="Arial"/>
                <w:b/>
                <w:sz w:val="18"/>
                <w:szCs w:val="18"/>
              </w:rPr>
            </w:pPr>
          </w:p>
          <w:p w:rsidR="00084D77" w:rsidRPr="00D53294" w:rsidRDefault="00084D77" w:rsidP="00704CC0">
            <w:pPr>
              <w:keepNext/>
              <w:keepLines/>
              <w:tabs>
                <w:tab w:val="left" w:pos="567"/>
                <w:tab w:val="left" w:pos="1134"/>
                <w:tab w:val="left" w:pos="1701"/>
                <w:tab w:val="left" w:pos="2268"/>
              </w:tabs>
              <w:jc w:val="right"/>
              <w:rPr>
                <w:rFonts w:cs="Arial"/>
                <w:b/>
                <w:sz w:val="18"/>
                <w:szCs w:val="18"/>
              </w:rPr>
            </w:pPr>
            <w:r w:rsidRPr="00D53294">
              <w:rPr>
                <w:rFonts w:cs="Arial"/>
                <w:b/>
                <w:sz w:val="18"/>
                <w:szCs w:val="18"/>
              </w:rPr>
              <w:t>(Sales)</w:t>
            </w:r>
          </w:p>
        </w:tc>
        <w:tc>
          <w:tcPr>
            <w:tcW w:w="706" w:type="pct"/>
            <w:tcBorders>
              <w:top w:val="nil"/>
              <w:left w:val="nil"/>
              <w:right w:val="nil"/>
            </w:tcBorders>
            <w:shd w:val="clear" w:color="auto" w:fill="auto"/>
            <w:noWrap/>
            <w:vAlign w:val="bottom"/>
          </w:tcPr>
          <w:p w:rsidR="00084D77" w:rsidRPr="00D53294" w:rsidRDefault="00084D77" w:rsidP="00704CC0">
            <w:pPr>
              <w:keepNext/>
              <w:keepLines/>
              <w:tabs>
                <w:tab w:val="left" w:pos="567"/>
                <w:tab w:val="left" w:pos="1134"/>
                <w:tab w:val="left" w:pos="1701"/>
                <w:tab w:val="left" w:pos="2268"/>
              </w:tabs>
              <w:jc w:val="right"/>
              <w:rPr>
                <w:rFonts w:cs="Arial"/>
                <w:b/>
                <w:sz w:val="18"/>
                <w:szCs w:val="18"/>
              </w:rPr>
            </w:pPr>
            <w:r w:rsidRPr="00D53294">
              <w:rPr>
                <w:rFonts w:cs="Arial"/>
                <w:b/>
                <w:sz w:val="18"/>
                <w:szCs w:val="18"/>
              </w:rPr>
              <w:t>Profit</w:t>
            </w:r>
          </w:p>
        </w:tc>
        <w:tc>
          <w:tcPr>
            <w:tcW w:w="706" w:type="pct"/>
            <w:tcBorders>
              <w:top w:val="nil"/>
              <w:left w:val="nil"/>
              <w:right w:val="nil"/>
            </w:tcBorders>
            <w:shd w:val="clear" w:color="auto" w:fill="auto"/>
            <w:vAlign w:val="bottom"/>
          </w:tcPr>
          <w:p w:rsidR="00084D77" w:rsidRPr="00D53294" w:rsidRDefault="00084D77" w:rsidP="00704CC0">
            <w:pPr>
              <w:keepNext/>
              <w:keepLines/>
              <w:tabs>
                <w:tab w:val="left" w:pos="567"/>
                <w:tab w:val="left" w:pos="1134"/>
                <w:tab w:val="left" w:pos="1701"/>
                <w:tab w:val="left" w:pos="2268"/>
              </w:tabs>
              <w:jc w:val="right"/>
              <w:rPr>
                <w:rFonts w:cs="Arial"/>
                <w:b/>
                <w:sz w:val="18"/>
                <w:szCs w:val="18"/>
              </w:rPr>
            </w:pPr>
            <w:r w:rsidRPr="00D53294">
              <w:rPr>
                <w:rFonts w:cs="Arial"/>
                <w:b/>
                <w:sz w:val="18"/>
                <w:szCs w:val="18"/>
              </w:rPr>
              <w:t>Value at</w:t>
            </w:r>
          </w:p>
          <w:p w:rsidR="00084D77" w:rsidRPr="00D53294" w:rsidRDefault="001029BC" w:rsidP="00704CC0">
            <w:pPr>
              <w:keepNext/>
              <w:keepLines/>
              <w:tabs>
                <w:tab w:val="left" w:pos="567"/>
                <w:tab w:val="left" w:pos="1134"/>
                <w:tab w:val="left" w:pos="1701"/>
                <w:tab w:val="left" w:pos="2268"/>
              </w:tabs>
              <w:jc w:val="right"/>
              <w:rPr>
                <w:rFonts w:cs="Arial"/>
                <w:b/>
                <w:sz w:val="18"/>
                <w:szCs w:val="18"/>
              </w:rPr>
            </w:pPr>
            <w:r w:rsidRPr="00D53294">
              <w:rPr>
                <w:rFonts w:cs="Arial"/>
                <w:b/>
                <w:sz w:val="18"/>
                <w:szCs w:val="18"/>
              </w:rPr>
              <w:t>24</w:t>
            </w:r>
            <w:r w:rsidR="00084D77" w:rsidRPr="00D53294">
              <w:rPr>
                <w:rFonts w:cs="Arial"/>
                <w:b/>
                <w:sz w:val="18"/>
                <w:szCs w:val="18"/>
              </w:rPr>
              <w:t xml:space="preserve"> </w:t>
            </w:r>
            <w:r w:rsidR="000527C4" w:rsidRPr="00D53294">
              <w:rPr>
                <w:rFonts w:cs="Arial"/>
                <w:b/>
                <w:sz w:val="18"/>
                <w:szCs w:val="18"/>
              </w:rPr>
              <w:t xml:space="preserve">February </w:t>
            </w:r>
            <w:r w:rsidR="000837C5" w:rsidRPr="00D53294">
              <w:rPr>
                <w:rFonts w:cs="Arial"/>
                <w:b/>
                <w:sz w:val="18"/>
                <w:szCs w:val="18"/>
              </w:rPr>
              <w:t xml:space="preserve"> </w:t>
            </w:r>
            <w:r w:rsidR="00084D77" w:rsidRPr="00D53294">
              <w:rPr>
                <w:rFonts w:cs="Arial"/>
                <w:b/>
                <w:sz w:val="18"/>
                <w:szCs w:val="18"/>
              </w:rPr>
              <w:t xml:space="preserve"> 201</w:t>
            </w:r>
            <w:r w:rsidR="000837C5" w:rsidRPr="00D53294">
              <w:rPr>
                <w:rFonts w:cs="Arial"/>
                <w:b/>
                <w:sz w:val="18"/>
                <w:szCs w:val="18"/>
              </w:rPr>
              <w:t>4</w:t>
            </w:r>
          </w:p>
        </w:tc>
      </w:tr>
      <w:tr w:rsidR="003900BE" w:rsidRPr="00A76890" w:rsidTr="00562F9C">
        <w:trPr>
          <w:trHeight w:val="20"/>
        </w:trPr>
        <w:tc>
          <w:tcPr>
            <w:tcW w:w="2177" w:type="pct"/>
            <w:tcBorders>
              <w:top w:val="nil"/>
              <w:left w:val="nil"/>
              <w:right w:val="nil"/>
            </w:tcBorders>
            <w:shd w:val="clear" w:color="auto" w:fill="auto"/>
            <w:noWrap/>
            <w:vAlign w:val="bottom"/>
          </w:tcPr>
          <w:p w:rsidR="00344E56" w:rsidRPr="00D53294" w:rsidRDefault="00344E56" w:rsidP="00704CC0">
            <w:pPr>
              <w:keepNext/>
              <w:keepLines/>
              <w:tabs>
                <w:tab w:val="left" w:pos="567"/>
                <w:tab w:val="left" w:pos="1134"/>
                <w:tab w:val="left" w:pos="1701"/>
                <w:tab w:val="left" w:pos="2268"/>
              </w:tabs>
              <w:ind w:left="1134"/>
              <w:rPr>
                <w:rFonts w:cs="Arial"/>
                <w:b/>
                <w:sz w:val="18"/>
                <w:szCs w:val="18"/>
              </w:rPr>
            </w:pPr>
            <w:bookmarkStart w:id="16" w:name="_GoBack"/>
            <w:bookmarkEnd w:id="16"/>
          </w:p>
        </w:tc>
        <w:tc>
          <w:tcPr>
            <w:tcW w:w="706" w:type="pct"/>
            <w:tcBorders>
              <w:top w:val="nil"/>
              <w:left w:val="nil"/>
              <w:right w:val="nil"/>
            </w:tcBorders>
            <w:shd w:val="clear" w:color="auto" w:fill="auto"/>
            <w:vAlign w:val="bottom"/>
          </w:tcPr>
          <w:p w:rsidR="00344E56" w:rsidRPr="00D53294" w:rsidRDefault="00344E56" w:rsidP="00704CC0">
            <w:pPr>
              <w:keepNext/>
              <w:keepLines/>
              <w:tabs>
                <w:tab w:val="left" w:pos="567"/>
                <w:tab w:val="left" w:pos="1134"/>
                <w:tab w:val="left" w:pos="1701"/>
                <w:tab w:val="left" w:pos="2268"/>
              </w:tabs>
              <w:jc w:val="right"/>
              <w:rPr>
                <w:rFonts w:cs="Arial"/>
                <w:b/>
                <w:sz w:val="18"/>
                <w:szCs w:val="18"/>
              </w:rPr>
            </w:pPr>
            <w:r w:rsidRPr="00D53294">
              <w:rPr>
                <w:rFonts w:cs="Arial"/>
                <w:b/>
                <w:sz w:val="18"/>
                <w:szCs w:val="18"/>
              </w:rPr>
              <w:t>£</w:t>
            </w:r>
            <w:r w:rsidRPr="00D53294">
              <w:rPr>
                <w:rFonts w:cs="Arial"/>
                <w:b/>
                <w:bCs/>
                <w:sz w:val="18"/>
                <w:szCs w:val="18"/>
              </w:rPr>
              <w:t>'</w:t>
            </w:r>
            <w:r w:rsidRPr="00D53294">
              <w:rPr>
                <w:rFonts w:cs="Arial"/>
                <w:b/>
                <w:sz w:val="18"/>
                <w:szCs w:val="18"/>
              </w:rPr>
              <w:t>000</w:t>
            </w:r>
          </w:p>
        </w:tc>
        <w:tc>
          <w:tcPr>
            <w:tcW w:w="706" w:type="pct"/>
            <w:tcBorders>
              <w:top w:val="nil"/>
              <w:left w:val="nil"/>
              <w:right w:val="nil"/>
            </w:tcBorders>
            <w:shd w:val="clear" w:color="auto" w:fill="auto"/>
            <w:noWrap/>
            <w:vAlign w:val="bottom"/>
          </w:tcPr>
          <w:p w:rsidR="00344E56" w:rsidRPr="00D53294" w:rsidRDefault="00344E56" w:rsidP="00704CC0">
            <w:pPr>
              <w:keepNext/>
              <w:keepLines/>
              <w:tabs>
                <w:tab w:val="left" w:pos="567"/>
                <w:tab w:val="left" w:pos="1134"/>
                <w:tab w:val="left" w:pos="1701"/>
                <w:tab w:val="left" w:pos="2268"/>
              </w:tabs>
              <w:jc w:val="right"/>
              <w:rPr>
                <w:rFonts w:cs="Arial"/>
                <w:b/>
                <w:sz w:val="18"/>
                <w:szCs w:val="18"/>
              </w:rPr>
            </w:pPr>
            <w:r w:rsidRPr="00D53294">
              <w:rPr>
                <w:rFonts w:cs="Arial"/>
                <w:b/>
                <w:sz w:val="18"/>
                <w:szCs w:val="18"/>
              </w:rPr>
              <w:t>£</w:t>
            </w:r>
            <w:r w:rsidRPr="00D53294">
              <w:rPr>
                <w:rFonts w:cs="Arial"/>
                <w:b/>
                <w:bCs/>
                <w:sz w:val="18"/>
                <w:szCs w:val="18"/>
              </w:rPr>
              <w:t>'</w:t>
            </w:r>
            <w:r w:rsidRPr="00D53294">
              <w:rPr>
                <w:rFonts w:cs="Arial"/>
                <w:b/>
                <w:sz w:val="18"/>
                <w:szCs w:val="18"/>
              </w:rPr>
              <w:t>000</w:t>
            </w:r>
          </w:p>
        </w:tc>
        <w:tc>
          <w:tcPr>
            <w:tcW w:w="706" w:type="pct"/>
            <w:tcBorders>
              <w:top w:val="nil"/>
              <w:left w:val="nil"/>
              <w:right w:val="nil"/>
            </w:tcBorders>
            <w:shd w:val="clear" w:color="auto" w:fill="auto"/>
            <w:noWrap/>
            <w:vAlign w:val="bottom"/>
          </w:tcPr>
          <w:p w:rsidR="00344E56" w:rsidRPr="00D53294" w:rsidRDefault="00344E56" w:rsidP="00704CC0">
            <w:pPr>
              <w:keepNext/>
              <w:keepLines/>
              <w:tabs>
                <w:tab w:val="left" w:pos="567"/>
                <w:tab w:val="left" w:pos="1134"/>
                <w:tab w:val="left" w:pos="1701"/>
                <w:tab w:val="left" w:pos="2268"/>
              </w:tabs>
              <w:jc w:val="right"/>
              <w:rPr>
                <w:rFonts w:cs="Arial"/>
                <w:b/>
                <w:sz w:val="18"/>
                <w:szCs w:val="18"/>
              </w:rPr>
            </w:pPr>
            <w:r w:rsidRPr="00D53294">
              <w:rPr>
                <w:rFonts w:cs="Arial"/>
                <w:b/>
                <w:sz w:val="18"/>
                <w:szCs w:val="18"/>
              </w:rPr>
              <w:t>£</w:t>
            </w:r>
            <w:r w:rsidRPr="00D53294">
              <w:rPr>
                <w:rFonts w:cs="Arial"/>
                <w:b/>
                <w:bCs/>
                <w:sz w:val="18"/>
                <w:szCs w:val="18"/>
              </w:rPr>
              <w:t>'</w:t>
            </w:r>
            <w:r w:rsidRPr="00D53294">
              <w:rPr>
                <w:rFonts w:cs="Arial"/>
                <w:b/>
                <w:sz w:val="18"/>
                <w:szCs w:val="18"/>
              </w:rPr>
              <w:t>000</w:t>
            </w:r>
          </w:p>
        </w:tc>
        <w:tc>
          <w:tcPr>
            <w:tcW w:w="706" w:type="pct"/>
            <w:tcBorders>
              <w:top w:val="nil"/>
              <w:left w:val="nil"/>
              <w:right w:val="nil"/>
            </w:tcBorders>
            <w:shd w:val="clear" w:color="auto" w:fill="auto"/>
            <w:vAlign w:val="bottom"/>
          </w:tcPr>
          <w:p w:rsidR="00344E56" w:rsidRPr="00D53294" w:rsidRDefault="00344E56" w:rsidP="00704CC0">
            <w:pPr>
              <w:keepNext/>
              <w:keepLines/>
              <w:tabs>
                <w:tab w:val="left" w:pos="567"/>
                <w:tab w:val="left" w:pos="1134"/>
                <w:tab w:val="left" w:pos="1701"/>
                <w:tab w:val="left" w:pos="2268"/>
              </w:tabs>
              <w:jc w:val="right"/>
              <w:rPr>
                <w:rFonts w:cs="Arial"/>
                <w:b/>
                <w:sz w:val="18"/>
                <w:szCs w:val="18"/>
              </w:rPr>
            </w:pPr>
            <w:r w:rsidRPr="00D53294">
              <w:rPr>
                <w:rFonts w:cs="Arial"/>
                <w:b/>
                <w:sz w:val="18"/>
                <w:szCs w:val="18"/>
              </w:rPr>
              <w:t>£</w:t>
            </w:r>
            <w:r w:rsidRPr="00D53294">
              <w:rPr>
                <w:rFonts w:cs="Arial"/>
                <w:b/>
                <w:bCs/>
                <w:sz w:val="18"/>
                <w:szCs w:val="18"/>
              </w:rPr>
              <w:t>'</w:t>
            </w:r>
            <w:r w:rsidRPr="00D53294">
              <w:rPr>
                <w:rFonts w:cs="Arial"/>
                <w:b/>
                <w:sz w:val="18"/>
                <w:szCs w:val="18"/>
              </w:rPr>
              <w:t>000</w:t>
            </w:r>
          </w:p>
        </w:tc>
      </w:tr>
      <w:tr w:rsidR="003900BE" w:rsidRPr="00A76890" w:rsidTr="00562F9C">
        <w:trPr>
          <w:trHeight w:val="20"/>
        </w:trPr>
        <w:tc>
          <w:tcPr>
            <w:tcW w:w="2177" w:type="pct"/>
            <w:tcBorders>
              <w:top w:val="nil"/>
              <w:left w:val="nil"/>
              <w:bottom w:val="nil"/>
              <w:right w:val="nil"/>
            </w:tcBorders>
            <w:shd w:val="clear" w:color="auto" w:fill="auto"/>
            <w:noWrap/>
          </w:tcPr>
          <w:p w:rsidR="0092140F" w:rsidRPr="00D53294" w:rsidRDefault="0092140F" w:rsidP="00704CC0">
            <w:pPr>
              <w:keepNext/>
              <w:keepLines/>
              <w:tabs>
                <w:tab w:val="left" w:pos="567"/>
                <w:tab w:val="left" w:pos="1134"/>
                <w:tab w:val="left" w:pos="1701"/>
                <w:tab w:val="left" w:pos="2268"/>
              </w:tabs>
              <w:ind w:left="1134"/>
              <w:rPr>
                <w:rFonts w:cs="Arial"/>
                <w:sz w:val="18"/>
                <w:szCs w:val="18"/>
              </w:rPr>
            </w:pPr>
            <w:r w:rsidRPr="00D53294">
              <w:rPr>
                <w:rFonts w:cs="Arial"/>
                <w:sz w:val="18"/>
                <w:szCs w:val="18"/>
              </w:rPr>
              <w:t>Nitco Limited</w:t>
            </w:r>
          </w:p>
        </w:tc>
        <w:tc>
          <w:tcPr>
            <w:tcW w:w="706" w:type="pct"/>
            <w:tcBorders>
              <w:top w:val="nil"/>
              <w:left w:val="nil"/>
              <w:bottom w:val="nil"/>
              <w:right w:val="nil"/>
            </w:tcBorders>
            <w:shd w:val="clear" w:color="auto" w:fill="auto"/>
            <w:noWrap/>
            <w:vAlign w:val="bottom"/>
          </w:tcPr>
          <w:p w:rsidR="0092140F" w:rsidRPr="00D53294" w:rsidRDefault="00041D00" w:rsidP="00704CC0">
            <w:pPr>
              <w:keepNext/>
              <w:keepLines/>
              <w:tabs>
                <w:tab w:val="left" w:pos="567"/>
                <w:tab w:val="left" w:pos="1134"/>
                <w:tab w:val="left" w:pos="1701"/>
                <w:tab w:val="left" w:pos="2268"/>
              </w:tabs>
              <w:jc w:val="right"/>
              <w:rPr>
                <w:rFonts w:cs="Arial"/>
                <w:b/>
                <w:sz w:val="18"/>
                <w:szCs w:val="18"/>
              </w:rPr>
            </w:pPr>
            <w:r w:rsidRPr="00D53294">
              <w:rPr>
                <w:rFonts w:cs="Arial"/>
                <w:b/>
                <w:sz w:val="18"/>
                <w:szCs w:val="18"/>
              </w:rPr>
              <w:t>219</w:t>
            </w:r>
          </w:p>
        </w:tc>
        <w:tc>
          <w:tcPr>
            <w:tcW w:w="706" w:type="pct"/>
            <w:tcBorders>
              <w:top w:val="nil"/>
              <w:left w:val="nil"/>
              <w:bottom w:val="nil"/>
              <w:right w:val="nil"/>
            </w:tcBorders>
            <w:shd w:val="clear" w:color="auto" w:fill="auto"/>
            <w:noWrap/>
            <w:vAlign w:val="bottom"/>
          </w:tcPr>
          <w:p w:rsidR="0092140F" w:rsidRPr="00D53294" w:rsidRDefault="00E64C70" w:rsidP="00704CC0">
            <w:pPr>
              <w:keepNext/>
              <w:keepLines/>
              <w:tabs>
                <w:tab w:val="left" w:pos="567"/>
                <w:tab w:val="left" w:pos="1134"/>
                <w:tab w:val="left" w:pos="1701"/>
                <w:tab w:val="left" w:pos="2268"/>
              </w:tabs>
              <w:jc w:val="right"/>
              <w:rPr>
                <w:rFonts w:cs="Arial"/>
                <w:b/>
                <w:sz w:val="18"/>
                <w:szCs w:val="18"/>
              </w:rPr>
            </w:pPr>
            <w:r w:rsidRPr="00D53294">
              <w:rPr>
                <w:rFonts w:cs="Arial"/>
                <w:b/>
                <w:sz w:val="18"/>
                <w:szCs w:val="18"/>
              </w:rPr>
              <w:t>-</w:t>
            </w:r>
          </w:p>
        </w:tc>
        <w:tc>
          <w:tcPr>
            <w:tcW w:w="706" w:type="pct"/>
            <w:tcBorders>
              <w:top w:val="nil"/>
              <w:left w:val="nil"/>
              <w:bottom w:val="nil"/>
              <w:right w:val="nil"/>
            </w:tcBorders>
            <w:shd w:val="clear" w:color="auto" w:fill="auto"/>
            <w:noWrap/>
            <w:vAlign w:val="bottom"/>
          </w:tcPr>
          <w:p w:rsidR="0092140F" w:rsidRPr="00D53294" w:rsidRDefault="001029BC" w:rsidP="00704CC0">
            <w:pPr>
              <w:keepNext/>
              <w:keepLines/>
              <w:tabs>
                <w:tab w:val="left" w:pos="567"/>
                <w:tab w:val="left" w:pos="1134"/>
                <w:tab w:val="left" w:pos="1701"/>
                <w:tab w:val="left" w:pos="2268"/>
              </w:tabs>
              <w:jc w:val="right"/>
              <w:rPr>
                <w:rFonts w:cs="Arial"/>
                <w:b/>
                <w:sz w:val="18"/>
                <w:szCs w:val="18"/>
              </w:rPr>
            </w:pPr>
            <w:r w:rsidRPr="00D53294">
              <w:rPr>
                <w:rFonts w:cs="Arial"/>
                <w:b/>
                <w:sz w:val="18"/>
                <w:szCs w:val="18"/>
              </w:rPr>
              <w:t>37</w:t>
            </w:r>
          </w:p>
        </w:tc>
        <w:tc>
          <w:tcPr>
            <w:tcW w:w="706" w:type="pct"/>
            <w:tcBorders>
              <w:top w:val="nil"/>
              <w:left w:val="nil"/>
              <w:bottom w:val="nil"/>
              <w:right w:val="nil"/>
            </w:tcBorders>
            <w:shd w:val="clear" w:color="auto" w:fill="auto"/>
            <w:noWrap/>
            <w:vAlign w:val="bottom"/>
          </w:tcPr>
          <w:p w:rsidR="0092140F" w:rsidRPr="00D53294" w:rsidRDefault="00C7475B" w:rsidP="00704CC0">
            <w:pPr>
              <w:keepNext/>
              <w:keepLines/>
              <w:tabs>
                <w:tab w:val="left" w:pos="567"/>
                <w:tab w:val="left" w:pos="1134"/>
                <w:tab w:val="left" w:pos="1701"/>
                <w:tab w:val="left" w:pos="2268"/>
              </w:tabs>
              <w:jc w:val="right"/>
              <w:rPr>
                <w:rFonts w:cs="Arial"/>
                <w:sz w:val="18"/>
                <w:szCs w:val="18"/>
              </w:rPr>
            </w:pPr>
            <w:r w:rsidRPr="00D53294">
              <w:rPr>
                <w:rFonts w:cs="Arial"/>
                <w:sz w:val="18"/>
                <w:szCs w:val="18"/>
              </w:rPr>
              <w:t>256</w:t>
            </w:r>
          </w:p>
        </w:tc>
      </w:tr>
      <w:tr w:rsidR="003900BE" w:rsidRPr="00A76890" w:rsidTr="00562F9C">
        <w:trPr>
          <w:trHeight w:val="20"/>
        </w:trPr>
        <w:tc>
          <w:tcPr>
            <w:tcW w:w="2177" w:type="pct"/>
            <w:tcBorders>
              <w:top w:val="nil"/>
              <w:left w:val="nil"/>
              <w:bottom w:val="nil"/>
              <w:right w:val="nil"/>
            </w:tcBorders>
            <w:shd w:val="clear" w:color="auto" w:fill="auto"/>
            <w:noWrap/>
          </w:tcPr>
          <w:p w:rsidR="0092140F" w:rsidRPr="00D53294" w:rsidRDefault="0031143C" w:rsidP="00704CC0">
            <w:pPr>
              <w:keepNext/>
              <w:keepLines/>
              <w:tabs>
                <w:tab w:val="left" w:pos="567"/>
                <w:tab w:val="left" w:pos="1134"/>
                <w:tab w:val="left" w:pos="1701"/>
                <w:tab w:val="left" w:pos="2268"/>
              </w:tabs>
              <w:ind w:left="1134"/>
              <w:rPr>
                <w:rFonts w:cs="Arial"/>
                <w:sz w:val="18"/>
                <w:szCs w:val="18"/>
              </w:rPr>
            </w:pPr>
            <w:r w:rsidRPr="00D53294">
              <w:rPr>
                <w:rFonts w:cs="Arial"/>
                <w:sz w:val="18"/>
                <w:szCs w:val="18"/>
              </w:rPr>
              <w:t>Mahindra CIE Automotive Limited</w:t>
            </w:r>
          </w:p>
        </w:tc>
        <w:tc>
          <w:tcPr>
            <w:tcW w:w="706" w:type="pct"/>
            <w:tcBorders>
              <w:top w:val="nil"/>
              <w:left w:val="nil"/>
              <w:bottom w:val="nil"/>
              <w:right w:val="nil"/>
            </w:tcBorders>
            <w:shd w:val="clear" w:color="auto" w:fill="auto"/>
            <w:noWrap/>
            <w:vAlign w:val="bottom"/>
          </w:tcPr>
          <w:p w:rsidR="0092140F" w:rsidRPr="00D53294" w:rsidRDefault="00041D00" w:rsidP="00704CC0">
            <w:pPr>
              <w:keepNext/>
              <w:keepLines/>
              <w:tabs>
                <w:tab w:val="left" w:pos="567"/>
                <w:tab w:val="left" w:pos="1134"/>
                <w:tab w:val="left" w:pos="1701"/>
                <w:tab w:val="left" w:pos="2268"/>
              </w:tabs>
              <w:jc w:val="right"/>
              <w:rPr>
                <w:rFonts w:cs="Arial"/>
                <w:b/>
                <w:sz w:val="18"/>
                <w:szCs w:val="18"/>
              </w:rPr>
            </w:pPr>
            <w:r w:rsidRPr="00D53294">
              <w:rPr>
                <w:rFonts w:cs="Arial"/>
                <w:b/>
                <w:sz w:val="18"/>
                <w:szCs w:val="18"/>
              </w:rPr>
              <w:t>1</w:t>
            </w:r>
            <w:r w:rsidR="00A56C30" w:rsidRPr="00D53294">
              <w:rPr>
                <w:rFonts w:cs="Arial"/>
                <w:b/>
                <w:sz w:val="18"/>
                <w:szCs w:val="18"/>
              </w:rPr>
              <w:t>,</w:t>
            </w:r>
            <w:r w:rsidRPr="00D53294">
              <w:rPr>
                <w:rFonts w:cs="Arial"/>
                <w:b/>
                <w:sz w:val="18"/>
                <w:szCs w:val="18"/>
              </w:rPr>
              <w:t>656</w:t>
            </w:r>
          </w:p>
        </w:tc>
        <w:tc>
          <w:tcPr>
            <w:tcW w:w="706" w:type="pct"/>
            <w:tcBorders>
              <w:top w:val="nil"/>
              <w:left w:val="nil"/>
              <w:bottom w:val="nil"/>
              <w:right w:val="nil"/>
            </w:tcBorders>
            <w:shd w:val="clear" w:color="auto" w:fill="auto"/>
            <w:noWrap/>
            <w:vAlign w:val="bottom"/>
          </w:tcPr>
          <w:p w:rsidR="0092140F" w:rsidRPr="00D53294" w:rsidRDefault="00084D77" w:rsidP="00704CC0">
            <w:pPr>
              <w:keepNext/>
              <w:keepLines/>
              <w:tabs>
                <w:tab w:val="left" w:pos="567"/>
                <w:tab w:val="left" w:pos="1134"/>
                <w:tab w:val="left" w:pos="1701"/>
                <w:tab w:val="left" w:pos="2268"/>
              </w:tabs>
              <w:jc w:val="right"/>
              <w:rPr>
                <w:rFonts w:cs="Arial"/>
                <w:b/>
                <w:sz w:val="18"/>
                <w:szCs w:val="18"/>
              </w:rPr>
            </w:pPr>
            <w:r w:rsidRPr="00D53294">
              <w:rPr>
                <w:rFonts w:cs="Arial"/>
                <w:b/>
                <w:sz w:val="18"/>
                <w:szCs w:val="18"/>
              </w:rPr>
              <w:t>(</w:t>
            </w:r>
            <w:r w:rsidR="00E64C70" w:rsidRPr="00D53294">
              <w:rPr>
                <w:rFonts w:cs="Arial"/>
                <w:b/>
                <w:sz w:val="18"/>
                <w:szCs w:val="18"/>
              </w:rPr>
              <w:t>1</w:t>
            </w:r>
            <w:r w:rsidR="00A56C30" w:rsidRPr="00D53294">
              <w:rPr>
                <w:rFonts w:cs="Arial"/>
                <w:b/>
                <w:sz w:val="18"/>
                <w:szCs w:val="18"/>
              </w:rPr>
              <w:t>,</w:t>
            </w:r>
            <w:r w:rsidR="00E64C70" w:rsidRPr="00D53294">
              <w:rPr>
                <w:rFonts w:cs="Arial"/>
                <w:b/>
                <w:sz w:val="18"/>
                <w:szCs w:val="18"/>
              </w:rPr>
              <w:t>078</w:t>
            </w:r>
            <w:r w:rsidRPr="00D53294">
              <w:rPr>
                <w:rFonts w:cs="Arial"/>
                <w:b/>
                <w:sz w:val="18"/>
                <w:szCs w:val="18"/>
              </w:rPr>
              <w:t>)</w:t>
            </w:r>
          </w:p>
        </w:tc>
        <w:tc>
          <w:tcPr>
            <w:tcW w:w="706" w:type="pct"/>
            <w:tcBorders>
              <w:top w:val="nil"/>
              <w:left w:val="nil"/>
              <w:bottom w:val="nil"/>
              <w:right w:val="nil"/>
            </w:tcBorders>
            <w:shd w:val="clear" w:color="auto" w:fill="auto"/>
            <w:noWrap/>
            <w:vAlign w:val="bottom"/>
          </w:tcPr>
          <w:p w:rsidR="0092140F" w:rsidRPr="00D53294" w:rsidRDefault="001029BC" w:rsidP="00704CC0">
            <w:pPr>
              <w:keepNext/>
              <w:keepLines/>
              <w:tabs>
                <w:tab w:val="left" w:pos="567"/>
                <w:tab w:val="left" w:pos="1134"/>
                <w:tab w:val="left" w:pos="1701"/>
                <w:tab w:val="left" w:pos="2268"/>
              </w:tabs>
              <w:jc w:val="right"/>
              <w:rPr>
                <w:rFonts w:cs="Arial"/>
                <w:b/>
                <w:sz w:val="18"/>
                <w:szCs w:val="18"/>
              </w:rPr>
            </w:pPr>
            <w:r w:rsidRPr="00D53294">
              <w:rPr>
                <w:rFonts w:cs="Arial"/>
                <w:b/>
                <w:sz w:val="18"/>
                <w:szCs w:val="18"/>
              </w:rPr>
              <w:t>25</w:t>
            </w:r>
          </w:p>
        </w:tc>
        <w:tc>
          <w:tcPr>
            <w:tcW w:w="706" w:type="pct"/>
            <w:tcBorders>
              <w:top w:val="nil"/>
              <w:left w:val="nil"/>
              <w:bottom w:val="nil"/>
              <w:right w:val="nil"/>
            </w:tcBorders>
            <w:shd w:val="clear" w:color="auto" w:fill="auto"/>
            <w:noWrap/>
            <w:vAlign w:val="bottom"/>
          </w:tcPr>
          <w:p w:rsidR="0092140F" w:rsidRPr="00D53294" w:rsidRDefault="001029BC" w:rsidP="00704CC0">
            <w:pPr>
              <w:keepNext/>
              <w:keepLines/>
              <w:tabs>
                <w:tab w:val="left" w:pos="567"/>
                <w:tab w:val="left" w:pos="1134"/>
                <w:tab w:val="left" w:pos="1701"/>
                <w:tab w:val="left" w:pos="2268"/>
              </w:tabs>
              <w:jc w:val="right"/>
              <w:rPr>
                <w:rFonts w:cs="Arial"/>
                <w:sz w:val="18"/>
                <w:szCs w:val="18"/>
              </w:rPr>
            </w:pPr>
            <w:r w:rsidRPr="00D53294">
              <w:rPr>
                <w:rFonts w:cs="Arial"/>
                <w:sz w:val="18"/>
                <w:szCs w:val="18"/>
              </w:rPr>
              <w:t>603</w:t>
            </w:r>
          </w:p>
        </w:tc>
      </w:tr>
      <w:tr w:rsidR="003900BE" w:rsidRPr="00A76890" w:rsidTr="00562F9C">
        <w:trPr>
          <w:trHeight w:val="20"/>
        </w:trPr>
        <w:tc>
          <w:tcPr>
            <w:tcW w:w="2177" w:type="pct"/>
            <w:tcBorders>
              <w:top w:val="nil"/>
              <w:left w:val="nil"/>
              <w:bottom w:val="nil"/>
              <w:right w:val="nil"/>
            </w:tcBorders>
            <w:shd w:val="clear" w:color="auto" w:fill="auto"/>
            <w:noWrap/>
          </w:tcPr>
          <w:p w:rsidR="0092140F" w:rsidRPr="00D53294" w:rsidRDefault="0092140F" w:rsidP="00704CC0">
            <w:pPr>
              <w:tabs>
                <w:tab w:val="left" w:pos="567"/>
                <w:tab w:val="left" w:pos="1134"/>
                <w:tab w:val="left" w:pos="1701"/>
                <w:tab w:val="left" w:pos="2268"/>
              </w:tabs>
              <w:ind w:left="1134"/>
              <w:rPr>
                <w:rFonts w:cs="Arial"/>
                <w:sz w:val="18"/>
                <w:szCs w:val="18"/>
              </w:rPr>
            </w:pPr>
          </w:p>
        </w:tc>
        <w:tc>
          <w:tcPr>
            <w:tcW w:w="706" w:type="pct"/>
            <w:tcBorders>
              <w:top w:val="single" w:sz="4" w:space="0" w:color="auto"/>
              <w:left w:val="nil"/>
              <w:bottom w:val="single" w:sz="4" w:space="0" w:color="auto"/>
              <w:right w:val="nil"/>
            </w:tcBorders>
            <w:shd w:val="clear" w:color="auto" w:fill="auto"/>
            <w:noWrap/>
            <w:vAlign w:val="bottom"/>
          </w:tcPr>
          <w:p w:rsidR="0092140F" w:rsidRPr="00D53294" w:rsidRDefault="00041D00" w:rsidP="00704CC0">
            <w:pPr>
              <w:tabs>
                <w:tab w:val="left" w:pos="567"/>
                <w:tab w:val="left" w:pos="1134"/>
                <w:tab w:val="left" w:pos="1701"/>
                <w:tab w:val="left" w:pos="2268"/>
              </w:tabs>
              <w:jc w:val="right"/>
              <w:rPr>
                <w:rFonts w:cs="Arial"/>
                <w:b/>
                <w:sz w:val="18"/>
                <w:szCs w:val="18"/>
              </w:rPr>
            </w:pPr>
            <w:r w:rsidRPr="00D53294">
              <w:rPr>
                <w:rFonts w:cs="Arial"/>
                <w:b/>
                <w:sz w:val="18"/>
                <w:szCs w:val="18"/>
              </w:rPr>
              <w:t>1</w:t>
            </w:r>
            <w:r w:rsidR="00A56C30" w:rsidRPr="00D53294">
              <w:rPr>
                <w:rFonts w:cs="Arial"/>
                <w:b/>
                <w:sz w:val="18"/>
                <w:szCs w:val="18"/>
              </w:rPr>
              <w:t>,</w:t>
            </w:r>
            <w:r w:rsidRPr="00D53294">
              <w:rPr>
                <w:rFonts w:cs="Arial"/>
                <w:b/>
                <w:sz w:val="18"/>
                <w:szCs w:val="18"/>
              </w:rPr>
              <w:t>875</w:t>
            </w:r>
          </w:p>
        </w:tc>
        <w:tc>
          <w:tcPr>
            <w:tcW w:w="706" w:type="pct"/>
            <w:tcBorders>
              <w:top w:val="single" w:sz="4" w:space="0" w:color="auto"/>
              <w:left w:val="nil"/>
              <w:bottom w:val="single" w:sz="4" w:space="0" w:color="auto"/>
              <w:right w:val="nil"/>
            </w:tcBorders>
            <w:shd w:val="clear" w:color="auto" w:fill="auto"/>
            <w:noWrap/>
            <w:vAlign w:val="bottom"/>
          </w:tcPr>
          <w:p w:rsidR="0092140F" w:rsidRPr="00D53294" w:rsidRDefault="00084D77" w:rsidP="00704CC0">
            <w:pPr>
              <w:tabs>
                <w:tab w:val="left" w:pos="567"/>
                <w:tab w:val="left" w:pos="1134"/>
                <w:tab w:val="left" w:pos="1701"/>
                <w:tab w:val="left" w:pos="2268"/>
              </w:tabs>
              <w:jc w:val="right"/>
              <w:rPr>
                <w:rFonts w:cs="Arial"/>
                <w:b/>
                <w:sz w:val="18"/>
                <w:szCs w:val="18"/>
              </w:rPr>
            </w:pPr>
            <w:r w:rsidRPr="00D53294">
              <w:rPr>
                <w:rFonts w:cs="Arial"/>
                <w:b/>
                <w:sz w:val="18"/>
                <w:szCs w:val="18"/>
              </w:rPr>
              <w:t>(1</w:t>
            </w:r>
            <w:r w:rsidR="00A56C30" w:rsidRPr="00D53294">
              <w:rPr>
                <w:rFonts w:cs="Arial"/>
                <w:b/>
                <w:sz w:val="18"/>
                <w:szCs w:val="18"/>
              </w:rPr>
              <w:t>,</w:t>
            </w:r>
            <w:r w:rsidRPr="00D53294">
              <w:rPr>
                <w:rFonts w:cs="Arial"/>
                <w:b/>
                <w:sz w:val="18"/>
                <w:szCs w:val="18"/>
              </w:rPr>
              <w:t>078)</w:t>
            </w:r>
          </w:p>
        </w:tc>
        <w:tc>
          <w:tcPr>
            <w:tcW w:w="706" w:type="pct"/>
            <w:tcBorders>
              <w:top w:val="single" w:sz="4" w:space="0" w:color="auto"/>
              <w:left w:val="nil"/>
              <w:bottom w:val="single" w:sz="4" w:space="0" w:color="auto"/>
              <w:right w:val="nil"/>
            </w:tcBorders>
            <w:shd w:val="clear" w:color="auto" w:fill="auto"/>
            <w:noWrap/>
            <w:vAlign w:val="bottom"/>
          </w:tcPr>
          <w:p w:rsidR="0092140F" w:rsidRPr="00D53294" w:rsidRDefault="001029BC" w:rsidP="00704CC0">
            <w:pPr>
              <w:tabs>
                <w:tab w:val="left" w:pos="567"/>
                <w:tab w:val="left" w:pos="1134"/>
                <w:tab w:val="left" w:pos="1701"/>
                <w:tab w:val="left" w:pos="2268"/>
              </w:tabs>
              <w:jc w:val="right"/>
              <w:rPr>
                <w:rFonts w:cs="Arial"/>
                <w:b/>
                <w:sz w:val="18"/>
                <w:szCs w:val="18"/>
              </w:rPr>
            </w:pPr>
            <w:r w:rsidRPr="00D53294">
              <w:rPr>
                <w:rFonts w:cs="Arial"/>
                <w:b/>
                <w:sz w:val="18"/>
                <w:szCs w:val="18"/>
              </w:rPr>
              <w:t>62</w:t>
            </w:r>
          </w:p>
        </w:tc>
        <w:tc>
          <w:tcPr>
            <w:tcW w:w="706" w:type="pct"/>
            <w:tcBorders>
              <w:top w:val="single" w:sz="4" w:space="0" w:color="auto"/>
              <w:left w:val="nil"/>
              <w:bottom w:val="single" w:sz="4" w:space="0" w:color="auto"/>
              <w:right w:val="nil"/>
            </w:tcBorders>
            <w:shd w:val="clear" w:color="auto" w:fill="auto"/>
            <w:noWrap/>
            <w:vAlign w:val="bottom"/>
          </w:tcPr>
          <w:p w:rsidR="0092140F" w:rsidRPr="00D53294" w:rsidRDefault="000527C4" w:rsidP="00704CC0">
            <w:pPr>
              <w:tabs>
                <w:tab w:val="left" w:pos="567"/>
                <w:tab w:val="left" w:pos="1134"/>
                <w:tab w:val="left" w:pos="1701"/>
                <w:tab w:val="left" w:pos="2268"/>
              </w:tabs>
              <w:jc w:val="right"/>
              <w:rPr>
                <w:rFonts w:cs="Arial"/>
                <w:b/>
                <w:sz w:val="18"/>
                <w:szCs w:val="18"/>
              </w:rPr>
            </w:pPr>
            <w:r w:rsidRPr="00D53294">
              <w:rPr>
                <w:rFonts w:cs="Arial"/>
                <w:b/>
                <w:sz w:val="18"/>
                <w:szCs w:val="18"/>
              </w:rPr>
              <w:t>8</w:t>
            </w:r>
            <w:r w:rsidR="001029BC" w:rsidRPr="00D53294">
              <w:rPr>
                <w:rFonts w:cs="Arial"/>
                <w:b/>
                <w:sz w:val="18"/>
                <w:szCs w:val="18"/>
              </w:rPr>
              <w:t>59</w:t>
            </w:r>
          </w:p>
        </w:tc>
      </w:tr>
    </w:tbl>
    <w:p w:rsidR="00863596" w:rsidRPr="004E087F" w:rsidRDefault="0092140F" w:rsidP="00704CC0">
      <w:pPr>
        <w:keepNext/>
        <w:keepLines/>
        <w:numPr>
          <w:ilvl w:val="0"/>
          <w:numId w:val="4"/>
        </w:numPr>
        <w:tabs>
          <w:tab w:val="clear" w:pos="810"/>
          <w:tab w:val="left" w:pos="567"/>
          <w:tab w:val="left" w:pos="1134"/>
          <w:tab w:val="left" w:pos="1701"/>
          <w:tab w:val="left" w:pos="2268"/>
        </w:tabs>
        <w:spacing w:before="240"/>
        <w:ind w:left="567" w:hanging="567"/>
        <w:rPr>
          <w:rFonts w:cs="Arial"/>
          <w:b/>
        </w:rPr>
      </w:pPr>
      <w:r w:rsidRPr="004E087F">
        <w:rPr>
          <w:rFonts w:cs="Arial"/>
          <w:b/>
        </w:rPr>
        <w:t>Segmental information</w:t>
      </w:r>
    </w:p>
    <w:p w:rsidR="002A30E5" w:rsidRPr="00A76890" w:rsidRDefault="0092140F" w:rsidP="00704CC0">
      <w:pPr>
        <w:pStyle w:val="Normal2-Para"/>
        <w:spacing w:line="240" w:lineRule="auto"/>
        <w:ind w:left="567"/>
      </w:pPr>
      <w:r w:rsidRPr="00A76890">
        <w:t xml:space="preserve">The </w:t>
      </w:r>
      <w:r w:rsidR="00BF5A40" w:rsidRPr="00A76890">
        <w:t>D</w:t>
      </w:r>
      <w:r w:rsidR="007A68D2" w:rsidRPr="00A76890">
        <w:t>irectors have</w:t>
      </w:r>
      <w:r w:rsidRPr="00A76890">
        <w:t xml:space="preserve"> considered the provisions of IFRS</w:t>
      </w:r>
      <w:r w:rsidR="003A53FF" w:rsidRPr="00A76890">
        <w:t xml:space="preserve"> </w:t>
      </w:r>
      <w:r w:rsidRPr="00A76890">
        <w:t>8 in relation to segment reporting and concluded that the Group's activities form a single segment under the standard. From a geographical perspective, the Group's substantial investments are mostly focused in India. Equally, in relation to business segmentation, the Group's investments are predominantly in the small and mid-cap businesses and it is considered that, the risks and rewards are not materially different whether the investments are listed or unlisted. However, an analysis of the investments between listed and unlisted investments is provided in note 14.</w:t>
      </w:r>
    </w:p>
    <w:p w:rsidR="0085131C" w:rsidRPr="00A76890" w:rsidRDefault="0085131C" w:rsidP="00704CC0">
      <w:pPr>
        <w:pStyle w:val="Normal2-Para"/>
        <w:spacing w:line="240" w:lineRule="auto"/>
        <w:ind w:left="567"/>
      </w:pPr>
      <w:r w:rsidRPr="00A76890">
        <w:t xml:space="preserve">There are no material reconciling items between the information reported to the </w:t>
      </w:r>
      <w:r w:rsidR="00AA0725" w:rsidRPr="00A76890">
        <w:t>Board of Directors, considered as C</w:t>
      </w:r>
      <w:r w:rsidRPr="00A76890">
        <w:t xml:space="preserve">hief </w:t>
      </w:r>
      <w:r w:rsidR="00AA0725" w:rsidRPr="00A76890">
        <w:t>O</w:t>
      </w:r>
      <w:r w:rsidRPr="00A76890">
        <w:t xml:space="preserve">perating </w:t>
      </w:r>
      <w:r w:rsidR="00AA0725" w:rsidRPr="00A76890">
        <w:t>D</w:t>
      </w:r>
      <w:r w:rsidRPr="00A76890">
        <w:t xml:space="preserve">ecision </w:t>
      </w:r>
      <w:r w:rsidR="00AA0725" w:rsidRPr="00A76890">
        <w:t>M</w:t>
      </w:r>
      <w:r w:rsidRPr="00A76890">
        <w:t>aker</w:t>
      </w:r>
      <w:r w:rsidR="00AA0725" w:rsidRPr="00A76890">
        <w:t>,</w:t>
      </w:r>
      <w:r w:rsidRPr="00A76890">
        <w:t xml:space="preserve"> and that presented in the Financial Statements.</w:t>
      </w:r>
    </w:p>
    <w:p w:rsidR="00863596" w:rsidRPr="004E087F" w:rsidRDefault="0092140F" w:rsidP="00704CC0">
      <w:pPr>
        <w:numPr>
          <w:ilvl w:val="0"/>
          <w:numId w:val="4"/>
        </w:numPr>
        <w:tabs>
          <w:tab w:val="clear" w:pos="810"/>
          <w:tab w:val="left" w:pos="567"/>
          <w:tab w:val="left" w:pos="1134"/>
          <w:tab w:val="left" w:pos="1701"/>
          <w:tab w:val="left" w:pos="2268"/>
        </w:tabs>
        <w:spacing w:before="240"/>
        <w:ind w:left="567" w:hanging="567"/>
        <w:rPr>
          <w:rFonts w:cs="Arial"/>
          <w:b/>
        </w:rPr>
      </w:pPr>
      <w:r w:rsidRPr="004E087F">
        <w:rPr>
          <w:rFonts w:cs="Arial"/>
          <w:b/>
        </w:rPr>
        <w:t>Ultimate controlling party</w:t>
      </w:r>
    </w:p>
    <w:p w:rsidR="0092140F" w:rsidRPr="00A76890" w:rsidRDefault="0092140F" w:rsidP="00704CC0">
      <w:pPr>
        <w:pStyle w:val="Normal2-Para"/>
        <w:spacing w:line="240" w:lineRule="auto"/>
        <w:ind w:left="567"/>
      </w:pPr>
      <w:r w:rsidRPr="00A76890">
        <w:t>The Directors are of the opinion that there is no ultimate controlling party.</w:t>
      </w:r>
    </w:p>
    <w:p w:rsidR="00DF008D" w:rsidRPr="00A76890" w:rsidRDefault="00DF008D" w:rsidP="00704CC0">
      <w:pPr>
        <w:tabs>
          <w:tab w:val="left" w:pos="567"/>
          <w:tab w:val="left" w:pos="1134"/>
          <w:tab w:val="left" w:pos="1701"/>
          <w:tab w:val="left" w:pos="2268"/>
        </w:tabs>
        <w:rPr>
          <w:rFonts w:cs="Arial"/>
          <w:b/>
          <w:bCs/>
          <w:sz w:val="22"/>
          <w:szCs w:val="22"/>
        </w:rPr>
      </w:pPr>
      <w:bookmarkStart w:id="17" w:name="_Toc252384718"/>
      <w:bookmarkStart w:id="18" w:name="_Toc252385012"/>
      <w:bookmarkStart w:id="19" w:name="_Toc252385217"/>
      <w:bookmarkStart w:id="20" w:name="_Toc252385330"/>
      <w:bookmarkStart w:id="21" w:name="_Toc252385443"/>
      <w:bookmarkStart w:id="22" w:name="_Toc252422453"/>
      <w:bookmarkStart w:id="23" w:name="_Toc252422579"/>
      <w:bookmarkStart w:id="24" w:name="_Toc252422884"/>
      <w:bookmarkStart w:id="25" w:name="_Toc252384719"/>
      <w:bookmarkStart w:id="26" w:name="_Toc252385013"/>
      <w:bookmarkStart w:id="27" w:name="_Toc252385218"/>
      <w:bookmarkStart w:id="28" w:name="_Toc252385331"/>
      <w:bookmarkStart w:id="29" w:name="_Toc252385444"/>
      <w:bookmarkStart w:id="30" w:name="_Toc252422454"/>
      <w:bookmarkStart w:id="31" w:name="_Toc252422580"/>
      <w:bookmarkStart w:id="32" w:name="_Toc252422885"/>
      <w:bookmarkStart w:id="33" w:name="_Toc252384720"/>
      <w:bookmarkStart w:id="34" w:name="_Toc252385014"/>
      <w:bookmarkStart w:id="35" w:name="_Toc252385219"/>
      <w:bookmarkStart w:id="36" w:name="_Toc252385332"/>
      <w:bookmarkStart w:id="37" w:name="_Toc252385445"/>
      <w:bookmarkStart w:id="38" w:name="_Toc252422455"/>
      <w:bookmarkStart w:id="39" w:name="_Toc252422581"/>
      <w:bookmarkStart w:id="40" w:name="_Toc252422886"/>
      <w:bookmarkStart w:id="41" w:name="_Toc252384721"/>
      <w:bookmarkStart w:id="42" w:name="_Toc252385015"/>
      <w:bookmarkStart w:id="43" w:name="_Toc252385220"/>
      <w:bookmarkStart w:id="44" w:name="_Toc252385333"/>
      <w:bookmarkStart w:id="45" w:name="_Toc252385446"/>
      <w:bookmarkStart w:id="46" w:name="_Toc252422456"/>
      <w:bookmarkStart w:id="47" w:name="_Toc252422582"/>
      <w:bookmarkStart w:id="48" w:name="_Toc252422887"/>
      <w:bookmarkStart w:id="49" w:name="_Toc252384722"/>
      <w:bookmarkStart w:id="50" w:name="_Toc252385016"/>
      <w:bookmarkStart w:id="51" w:name="_Toc252385221"/>
      <w:bookmarkStart w:id="52" w:name="_Toc252385334"/>
      <w:bookmarkStart w:id="53" w:name="_Toc252385447"/>
      <w:bookmarkStart w:id="54" w:name="_Toc252422457"/>
      <w:bookmarkStart w:id="55" w:name="_Toc252422583"/>
      <w:bookmarkStart w:id="56" w:name="_Toc252422888"/>
      <w:bookmarkStart w:id="57" w:name="_Toc252384723"/>
      <w:bookmarkStart w:id="58" w:name="_Toc252385017"/>
      <w:bookmarkStart w:id="59" w:name="_Toc252385222"/>
      <w:bookmarkStart w:id="60" w:name="_Toc252385335"/>
      <w:bookmarkStart w:id="61" w:name="_Toc252385448"/>
      <w:bookmarkStart w:id="62" w:name="_Toc252422458"/>
      <w:bookmarkStart w:id="63" w:name="_Toc252422584"/>
      <w:bookmarkStart w:id="64" w:name="_Toc252422889"/>
      <w:bookmarkStart w:id="65" w:name="_Toc252384724"/>
      <w:bookmarkStart w:id="66" w:name="_Toc252385018"/>
      <w:bookmarkStart w:id="67" w:name="_Toc252385223"/>
      <w:bookmarkStart w:id="68" w:name="_Toc252385336"/>
      <w:bookmarkStart w:id="69" w:name="_Toc252385449"/>
      <w:bookmarkStart w:id="70" w:name="_Toc252422459"/>
      <w:bookmarkStart w:id="71" w:name="_Toc252422585"/>
      <w:bookmarkStart w:id="72" w:name="_Toc252422890"/>
      <w:bookmarkStart w:id="73" w:name="_Toc252384725"/>
      <w:bookmarkStart w:id="74" w:name="_Toc252385019"/>
      <w:bookmarkStart w:id="75" w:name="_Toc252385224"/>
      <w:bookmarkStart w:id="76" w:name="_Toc252385337"/>
      <w:bookmarkStart w:id="77" w:name="_Toc252385450"/>
      <w:bookmarkStart w:id="78" w:name="_Toc252422460"/>
      <w:bookmarkStart w:id="79" w:name="_Toc252422586"/>
      <w:bookmarkStart w:id="80" w:name="_Toc252422891"/>
      <w:bookmarkStart w:id="81" w:name="_Toc252384726"/>
      <w:bookmarkStart w:id="82" w:name="_Toc252385020"/>
      <w:bookmarkStart w:id="83" w:name="_Toc252385225"/>
      <w:bookmarkStart w:id="84" w:name="_Toc252385338"/>
      <w:bookmarkStart w:id="85" w:name="_Toc252385451"/>
      <w:bookmarkStart w:id="86" w:name="_Toc252422461"/>
      <w:bookmarkStart w:id="87" w:name="_Toc252422587"/>
      <w:bookmarkStart w:id="88" w:name="_Toc252422892"/>
      <w:bookmarkStart w:id="89" w:name="_Toc252384727"/>
      <w:bookmarkStart w:id="90" w:name="_Toc252385021"/>
      <w:bookmarkStart w:id="91" w:name="_Toc252385226"/>
      <w:bookmarkStart w:id="92" w:name="_Toc252385339"/>
      <w:bookmarkStart w:id="93" w:name="_Toc252385452"/>
      <w:bookmarkStart w:id="94" w:name="_Toc252422462"/>
      <w:bookmarkStart w:id="95" w:name="_Toc252422588"/>
      <w:bookmarkStart w:id="96" w:name="_Toc252422893"/>
      <w:bookmarkStart w:id="97" w:name="_Toc252384728"/>
      <w:bookmarkStart w:id="98" w:name="_Toc252385022"/>
      <w:bookmarkStart w:id="99" w:name="_Toc252385227"/>
      <w:bookmarkStart w:id="100" w:name="_Toc252385340"/>
      <w:bookmarkStart w:id="101" w:name="_Toc252385453"/>
      <w:bookmarkStart w:id="102" w:name="_Toc252422463"/>
      <w:bookmarkStart w:id="103" w:name="_Toc252422589"/>
      <w:bookmarkStart w:id="104" w:name="_Toc252422894"/>
      <w:bookmarkStart w:id="105" w:name="_Toc252384729"/>
      <w:bookmarkStart w:id="106" w:name="_Toc252385023"/>
      <w:bookmarkStart w:id="107" w:name="_Toc252385228"/>
      <w:bookmarkStart w:id="108" w:name="_Toc252385341"/>
      <w:bookmarkStart w:id="109" w:name="_Toc252385454"/>
      <w:bookmarkStart w:id="110" w:name="_Toc252422464"/>
      <w:bookmarkStart w:id="111" w:name="_Toc252422590"/>
      <w:bookmarkStart w:id="112" w:name="_Toc252422895"/>
      <w:bookmarkStart w:id="113" w:name="_Toc252384730"/>
      <w:bookmarkStart w:id="114" w:name="_Toc252385024"/>
      <w:bookmarkStart w:id="115" w:name="_Toc252385229"/>
      <w:bookmarkStart w:id="116" w:name="_Toc252385342"/>
      <w:bookmarkStart w:id="117" w:name="_Toc252385455"/>
      <w:bookmarkStart w:id="118" w:name="_Toc252422465"/>
      <w:bookmarkStart w:id="119" w:name="_Toc252422591"/>
      <w:bookmarkStart w:id="120" w:name="_Toc252422896"/>
      <w:bookmarkStart w:id="121" w:name="_Toc252384731"/>
      <w:bookmarkStart w:id="122" w:name="_Toc252385025"/>
      <w:bookmarkStart w:id="123" w:name="_Toc252385230"/>
      <w:bookmarkStart w:id="124" w:name="_Toc252385343"/>
      <w:bookmarkStart w:id="125" w:name="_Toc252385456"/>
      <w:bookmarkStart w:id="126" w:name="_Toc252422466"/>
      <w:bookmarkStart w:id="127" w:name="_Toc252422592"/>
      <w:bookmarkStart w:id="128" w:name="_Toc252422897"/>
      <w:bookmarkStart w:id="129" w:name="_Toc252384732"/>
      <w:bookmarkStart w:id="130" w:name="_Toc252385026"/>
      <w:bookmarkStart w:id="131" w:name="_Toc252385231"/>
      <w:bookmarkStart w:id="132" w:name="_Toc252385344"/>
      <w:bookmarkStart w:id="133" w:name="_Toc252385457"/>
      <w:bookmarkStart w:id="134" w:name="_Toc252422467"/>
      <w:bookmarkStart w:id="135" w:name="_Toc252422593"/>
      <w:bookmarkStart w:id="136" w:name="_Toc252422898"/>
      <w:bookmarkStart w:id="137" w:name="_Toc252384733"/>
      <w:bookmarkStart w:id="138" w:name="_Toc252385027"/>
      <w:bookmarkStart w:id="139" w:name="_Toc252385232"/>
      <w:bookmarkStart w:id="140" w:name="_Toc252385345"/>
      <w:bookmarkStart w:id="141" w:name="_Toc252385458"/>
      <w:bookmarkStart w:id="142" w:name="_Toc252422468"/>
      <w:bookmarkStart w:id="143" w:name="_Toc252422594"/>
      <w:bookmarkStart w:id="144" w:name="_Toc252422899"/>
      <w:bookmarkStart w:id="145" w:name="_Toc252384734"/>
      <w:bookmarkStart w:id="146" w:name="_Toc252385028"/>
      <w:bookmarkStart w:id="147" w:name="_Toc252385233"/>
      <w:bookmarkStart w:id="148" w:name="_Toc252385346"/>
      <w:bookmarkStart w:id="149" w:name="_Toc252385459"/>
      <w:bookmarkStart w:id="150" w:name="_Toc252422469"/>
      <w:bookmarkStart w:id="151" w:name="_Toc252422595"/>
      <w:bookmarkStart w:id="152" w:name="_Toc252422900"/>
      <w:bookmarkStart w:id="153" w:name="_Toc252384735"/>
      <w:bookmarkStart w:id="154" w:name="_Toc252385029"/>
      <w:bookmarkStart w:id="155" w:name="_Toc252385234"/>
      <w:bookmarkStart w:id="156" w:name="_Toc252385347"/>
      <w:bookmarkStart w:id="157" w:name="_Toc252385460"/>
      <w:bookmarkStart w:id="158" w:name="_Toc252422470"/>
      <w:bookmarkStart w:id="159" w:name="_Toc252422596"/>
      <w:bookmarkStart w:id="160" w:name="_Toc252422901"/>
      <w:bookmarkEnd w:id="12"/>
      <w:bookmarkEnd w:id="1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sectPr w:rsidR="00DF008D" w:rsidRPr="00A76890" w:rsidSect="0025768A">
      <w:type w:val="continuous"/>
      <w:pgSz w:w="12240" w:h="15840" w:code="1"/>
      <w:pgMar w:top="1134" w:right="1701" w:bottom="1134" w:left="1701"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283" w:rsidRDefault="00784283">
      <w:r>
        <w:separator/>
      </w:r>
    </w:p>
  </w:endnote>
  <w:endnote w:type="continuationSeparator" w:id="0">
    <w:p w:rsidR="00784283" w:rsidRDefault="00784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sGoth BT">
    <w:altName w:val="Microsoft YaHei"/>
    <w:charset w:val="00"/>
    <w:family w:val="swiss"/>
    <w:pitch w:val="variable"/>
    <w:sig w:usb0="00000001" w:usb1="1000204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283" w:rsidRDefault="00784283">
      <w:r>
        <w:separator/>
      </w:r>
    </w:p>
  </w:footnote>
  <w:footnote w:type="continuationSeparator" w:id="0">
    <w:p w:rsidR="00784283" w:rsidRDefault="00784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11C"/>
    <w:multiLevelType w:val="hybridMultilevel"/>
    <w:tmpl w:val="0EF64220"/>
    <w:lvl w:ilvl="0" w:tplc="9DB0FC92">
      <w:start w:val="1"/>
      <w:numFmt w:val="lowerRoman"/>
      <w:lvlText w:val="(%1)"/>
      <w:lvlJc w:val="left"/>
      <w:pPr>
        <w:ind w:left="1287" w:hanging="72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3C712B0"/>
    <w:multiLevelType w:val="hybridMultilevel"/>
    <w:tmpl w:val="B666E52E"/>
    <w:lvl w:ilvl="0" w:tplc="5F92E4B6">
      <w:start w:val="26"/>
      <w:numFmt w:val="bullet"/>
      <w:lvlText w:val="-"/>
      <w:lvlJc w:val="left"/>
      <w:pPr>
        <w:ind w:left="1095" w:hanging="360"/>
      </w:pPr>
      <w:rPr>
        <w:rFonts w:ascii="Garamond" w:eastAsia="Times New Roman" w:hAnsi="Garamond"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nsid w:val="19DD5D74"/>
    <w:multiLevelType w:val="hybridMultilevel"/>
    <w:tmpl w:val="4824F82A"/>
    <w:lvl w:ilvl="0" w:tplc="9C969FEA">
      <w:start w:val="1"/>
      <w:numFmt w:val="lowerRoman"/>
      <w:lvlText w:val="(%1)"/>
      <w:lvlJc w:val="left"/>
      <w:pPr>
        <w:ind w:left="2007" w:hanging="72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
    <w:nsid w:val="38182E72"/>
    <w:multiLevelType w:val="hybridMultilevel"/>
    <w:tmpl w:val="F5CC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AF5C10"/>
    <w:multiLevelType w:val="hybridMultilevel"/>
    <w:tmpl w:val="DA6E60EA"/>
    <w:lvl w:ilvl="0" w:tplc="8D46473A">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nsid w:val="39D139BC"/>
    <w:multiLevelType w:val="multilevel"/>
    <w:tmpl w:val="A2B6ACD2"/>
    <w:lvl w:ilvl="0">
      <w:start w:val="1"/>
      <w:numFmt w:val="bullet"/>
      <w:lvlText w:val=""/>
      <w:lvlJc w:val="left"/>
      <w:pPr>
        <w:tabs>
          <w:tab w:val="num" w:pos="567"/>
        </w:tabs>
        <w:ind w:left="567" w:hanging="567"/>
      </w:pPr>
      <w:rPr>
        <w:rFonts w:ascii="Symbol" w:hAnsi="Symbol" w:hint="default"/>
        <w:b w:val="0"/>
        <w:i w:val="0"/>
        <w:caps w:val="0"/>
        <w:sz w:val="20"/>
      </w:rPr>
    </w:lvl>
    <w:lvl w:ilvl="1">
      <w:start w:val="1"/>
      <w:numFmt w:val="decimal"/>
      <w:lvlText w:val="%2)"/>
      <w:lvlJc w:val="left"/>
      <w:pPr>
        <w:tabs>
          <w:tab w:val="num" w:pos="927"/>
        </w:tabs>
        <w:ind w:left="927" w:hanging="360"/>
      </w:pPr>
      <w:rPr>
        <w:rFonts w:hint="default"/>
        <w:b w:val="0"/>
        <w:i w:val="0"/>
        <w:caps w:val="0"/>
        <w:sz w:val="20"/>
      </w:rPr>
    </w:lvl>
    <w:lvl w:ilvl="2">
      <w:start w:val="1"/>
      <w:numFmt w:val="bullet"/>
      <w:pStyle w:val="Bullet3"/>
      <w:lvlText w:val="-"/>
      <w:lvlJc w:val="left"/>
      <w:pPr>
        <w:tabs>
          <w:tab w:val="num" w:pos="567"/>
        </w:tabs>
        <w:ind w:left="1701" w:hanging="567"/>
      </w:pPr>
      <w:rPr>
        <w:rFonts w:ascii="Arial" w:hAnsi="Arial" w:hint="default"/>
      </w:rPr>
    </w:lvl>
    <w:lvl w:ilvl="3">
      <w:start w:val="1"/>
      <w:numFmt w:val="bullet"/>
      <w:lvlText w:val="-"/>
      <w:lvlJc w:val="left"/>
      <w:pPr>
        <w:tabs>
          <w:tab w:val="num" w:pos="1701"/>
        </w:tabs>
        <w:ind w:left="1701" w:hanging="567"/>
      </w:pPr>
      <w:rPr>
        <w:rFonts w:ascii="Arial" w:hAnsi="Arial" w:hint="default"/>
      </w:rPr>
    </w:lvl>
    <w:lvl w:ilvl="4">
      <w:start w:val="1"/>
      <w:numFmt w:val="lowerLetter"/>
      <w:lvlText w:val="%5."/>
      <w:lvlJc w:val="left"/>
      <w:pPr>
        <w:tabs>
          <w:tab w:val="num" w:pos="-567"/>
        </w:tabs>
        <w:ind w:left="3033" w:hanging="360"/>
      </w:pPr>
      <w:rPr>
        <w:rFonts w:cs="Times New Roman" w:hint="default"/>
      </w:rPr>
    </w:lvl>
    <w:lvl w:ilvl="5">
      <w:start w:val="1"/>
      <w:numFmt w:val="lowerRoman"/>
      <w:lvlText w:val="%6."/>
      <w:lvlJc w:val="right"/>
      <w:pPr>
        <w:tabs>
          <w:tab w:val="num" w:pos="-567"/>
        </w:tabs>
        <w:ind w:left="3753" w:hanging="180"/>
      </w:pPr>
      <w:rPr>
        <w:rFonts w:cs="Times New Roman" w:hint="default"/>
      </w:rPr>
    </w:lvl>
    <w:lvl w:ilvl="6">
      <w:start w:val="1"/>
      <w:numFmt w:val="decimal"/>
      <w:lvlText w:val="%7."/>
      <w:lvlJc w:val="left"/>
      <w:pPr>
        <w:tabs>
          <w:tab w:val="num" w:pos="-567"/>
        </w:tabs>
        <w:ind w:left="4473" w:hanging="360"/>
      </w:pPr>
      <w:rPr>
        <w:rFonts w:cs="Times New Roman" w:hint="default"/>
      </w:rPr>
    </w:lvl>
    <w:lvl w:ilvl="7">
      <w:start w:val="1"/>
      <w:numFmt w:val="lowerLetter"/>
      <w:lvlText w:val="%8."/>
      <w:lvlJc w:val="left"/>
      <w:pPr>
        <w:tabs>
          <w:tab w:val="num" w:pos="-567"/>
        </w:tabs>
        <w:ind w:left="5193" w:hanging="360"/>
      </w:pPr>
      <w:rPr>
        <w:rFonts w:cs="Times New Roman" w:hint="default"/>
      </w:rPr>
    </w:lvl>
    <w:lvl w:ilvl="8">
      <w:start w:val="1"/>
      <w:numFmt w:val="lowerRoman"/>
      <w:lvlText w:val="%9."/>
      <w:lvlJc w:val="right"/>
      <w:pPr>
        <w:tabs>
          <w:tab w:val="num" w:pos="-567"/>
        </w:tabs>
        <w:ind w:left="5913" w:hanging="180"/>
      </w:pPr>
      <w:rPr>
        <w:rFonts w:cs="Times New Roman" w:hint="default"/>
      </w:rPr>
    </w:lvl>
  </w:abstractNum>
  <w:abstractNum w:abstractNumId="6">
    <w:nsid w:val="3A6B6D96"/>
    <w:multiLevelType w:val="hybridMultilevel"/>
    <w:tmpl w:val="15F0E25A"/>
    <w:lvl w:ilvl="0" w:tplc="97EA91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4E4F7E"/>
    <w:multiLevelType w:val="hybridMultilevel"/>
    <w:tmpl w:val="930C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D80708"/>
    <w:multiLevelType w:val="hybridMultilevel"/>
    <w:tmpl w:val="74B0FC78"/>
    <w:lvl w:ilvl="0" w:tplc="0FAA688E">
      <w:start w:val="1"/>
      <w:numFmt w:val="decimal"/>
      <w:lvlText w:val="4.%1"/>
      <w:lvlJc w:val="left"/>
      <w:pPr>
        <w:tabs>
          <w:tab w:val="num" w:pos="360"/>
        </w:tabs>
        <w:ind w:left="360" w:hanging="360"/>
      </w:pPr>
      <w:rPr>
        <w:rFonts w:hint="default"/>
        <w:b/>
      </w:rPr>
    </w:lvl>
    <w:lvl w:ilvl="1" w:tplc="6C125C8A">
      <w:start w:val="1"/>
      <w:numFmt w:val="decimal"/>
      <w:lvlText w:val="(%2)"/>
      <w:lvlJc w:val="left"/>
      <w:pPr>
        <w:tabs>
          <w:tab w:val="num" w:pos="1080"/>
        </w:tabs>
        <w:ind w:left="1080" w:hanging="360"/>
      </w:pPr>
      <w:rPr>
        <w:rFonts w:hint="default"/>
      </w:rPr>
    </w:lvl>
    <w:lvl w:ilvl="2" w:tplc="1FBCE068">
      <w:start w:val="22"/>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EED544A"/>
    <w:multiLevelType w:val="hybridMultilevel"/>
    <w:tmpl w:val="68EE07E8"/>
    <w:lvl w:ilvl="0" w:tplc="6DB663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51226"/>
    <w:multiLevelType w:val="hybridMultilevel"/>
    <w:tmpl w:val="3D38D73A"/>
    <w:lvl w:ilvl="0" w:tplc="7AD8415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4A1DBA"/>
    <w:multiLevelType w:val="hybridMultilevel"/>
    <w:tmpl w:val="0518A2E4"/>
    <w:lvl w:ilvl="0" w:tplc="4008D74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B927B6"/>
    <w:multiLevelType w:val="hybridMultilevel"/>
    <w:tmpl w:val="B6A2F6AC"/>
    <w:lvl w:ilvl="0" w:tplc="08090001">
      <w:start w:val="1"/>
      <w:numFmt w:val="bullet"/>
      <w:lvlText w:val=""/>
      <w:lvlJc w:val="left"/>
      <w:pPr>
        <w:ind w:left="720" w:hanging="360"/>
      </w:pPr>
      <w:rPr>
        <w:rFonts w:ascii="Symbol" w:hAnsi="Symbol" w:hint="default"/>
      </w:rPr>
    </w:lvl>
    <w:lvl w:ilvl="1" w:tplc="C00C40B0">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3822F7"/>
    <w:multiLevelType w:val="hybridMultilevel"/>
    <w:tmpl w:val="38F4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1D3EE2"/>
    <w:multiLevelType w:val="hybridMultilevel"/>
    <w:tmpl w:val="3496E720"/>
    <w:lvl w:ilvl="0" w:tplc="7AD8415E">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58951DCF"/>
    <w:multiLevelType w:val="hybridMultilevel"/>
    <w:tmpl w:val="AF1413FC"/>
    <w:lvl w:ilvl="0" w:tplc="7AD8415E">
      <w:start w:val="1"/>
      <w:numFmt w:val="bullet"/>
      <w:lvlText w:val="−"/>
      <w:lvlJc w:val="left"/>
      <w:pPr>
        <w:ind w:left="927" w:hanging="360"/>
      </w:pPr>
      <w:rPr>
        <w:rFonts w:ascii="Arial" w:hAnsi="Arial" w:hint="default"/>
      </w:rPr>
    </w:lvl>
    <w:lvl w:ilvl="1" w:tplc="7AD8415E">
      <w:start w:val="1"/>
      <w:numFmt w:val="bullet"/>
      <w:lvlText w:val="−"/>
      <w:lvlJc w:val="left"/>
      <w:pPr>
        <w:ind w:left="1647" w:hanging="360"/>
      </w:pPr>
      <w:rPr>
        <w:rFonts w:ascii="Arial" w:hAnsi="Aria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nsid w:val="6A2D7E22"/>
    <w:multiLevelType w:val="hybridMultilevel"/>
    <w:tmpl w:val="78000320"/>
    <w:lvl w:ilvl="0" w:tplc="F3408D08">
      <w:start w:val="6"/>
      <w:numFmt w:val="decimal"/>
      <w:lvlText w:val="%1."/>
      <w:lvlJc w:val="left"/>
      <w:pPr>
        <w:tabs>
          <w:tab w:val="num" w:pos="810"/>
        </w:tabs>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957254"/>
    <w:multiLevelType w:val="hybridMultilevel"/>
    <w:tmpl w:val="14DED856"/>
    <w:lvl w:ilvl="0" w:tplc="4F329344">
      <w:start w:val="1"/>
      <w:numFmt w:val="bullet"/>
      <w:pStyle w:val="Bullet2"/>
      <w:lvlText w:val="-"/>
      <w:lvlJc w:val="left"/>
      <w:pPr>
        <w:tabs>
          <w:tab w:val="num" w:pos="567"/>
        </w:tabs>
        <w:ind w:left="567" w:firstLine="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C0D0418"/>
    <w:multiLevelType w:val="hybridMultilevel"/>
    <w:tmpl w:val="7626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AD17EF"/>
    <w:multiLevelType w:val="hybridMultilevel"/>
    <w:tmpl w:val="BA303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6"/>
  </w:num>
  <w:num w:numId="5">
    <w:abstractNumId w:val="9"/>
  </w:num>
  <w:num w:numId="6">
    <w:abstractNumId w:val="17"/>
  </w:num>
  <w:num w:numId="7">
    <w:abstractNumId w:val="5"/>
  </w:num>
  <w:num w:numId="8">
    <w:abstractNumId w:val="13"/>
  </w:num>
  <w:num w:numId="9">
    <w:abstractNumId w:val="18"/>
  </w:num>
  <w:num w:numId="10">
    <w:abstractNumId w:val="12"/>
  </w:num>
  <w:num w:numId="11">
    <w:abstractNumId w:val="19"/>
  </w:num>
  <w:num w:numId="12">
    <w:abstractNumId w:val="7"/>
  </w:num>
  <w:num w:numId="13">
    <w:abstractNumId w:val="3"/>
  </w:num>
  <w:num w:numId="14">
    <w:abstractNumId w:val="11"/>
  </w:num>
  <w:num w:numId="15">
    <w:abstractNumId w:val="15"/>
  </w:num>
  <w:num w:numId="16">
    <w:abstractNumId w:val="14"/>
  </w:num>
  <w:num w:numId="17">
    <w:abstractNumId w:val="2"/>
  </w:num>
  <w:num w:numId="18">
    <w:abstractNumId w:val="10"/>
  </w:num>
  <w:num w:numId="19">
    <w:abstractNumId w:val="4"/>
  </w:num>
  <w:num w:numId="20">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8"/>
  <w:proofState w:spelling="clean" w:grammar="clean"/>
  <w:stylePaneFormatFilter w:val="3801"/>
  <w:defaultTabStop w:val="567"/>
  <w:drawingGridHorizontalSpacing w:val="120"/>
  <w:displayHorizontalDrawingGridEvery w:val="2"/>
  <w:characterSpacingControl w:val="doNotCompress"/>
  <w:hdrShapeDefaults>
    <o:shapedefaults v:ext="edit" spidmax="130050"/>
  </w:hdrShapeDefaults>
  <w:footnotePr>
    <w:footnote w:id="-1"/>
    <w:footnote w:id="0"/>
  </w:footnotePr>
  <w:endnotePr>
    <w:endnote w:id="-1"/>
    <w:endnote w:id="0"/>
  </w:endnotePr>
  <w:compat/>
  <w:rsids>
    <w:rsidRoot w:val="00D6519D"/>
    <w:rsid w:val="000003B5"/>
    <w:rsid w:val="00000817"/>
    <w:rsid w:val="00000AA0"/>
    <w:rsid w:val="0000127C"/>
    <w:rsid w:val="0000138D"/>
    <w:rsid w:val="00001502"/>
    <w:rsid w:val="000018B4"/>
    <w:rsid w:val="0000235E"/>
    <w:rsid w:val="00002C9C"/>
    <w:rsid w:val="00002DC2"/>
    <w:rsid w:val="00002FCC"/>
    <w:rsid w:val="00003006"/>
    <w:rsid w:val="00003E73"/>
    <w:rsid w:val="000044AC"/>
    <w:rsid w:val="00004912"/>
    <w:rsid w:val="000049E8"/>
    <w:rsid w:val="00004E70"/>
    <w:rsid w:val="00004FC4"/>
    <w:rsid w:val="00005000"/>
    <w:rsid w:val="000051A9"/>
    <w:rsid w:val="000055BE"/>
    <w:rsid w:val="00005B61"/>
    <w:rsid w:val="00005D45"/>
    <w:rsid w:val="00005F1E"/>
    <w:rsid w:val="000060EC"/>
    <w:rsid w:val="000066E5"/>
    <w:rsid w:val="00006E57"/>
    <w:rsid w:val="000075A5"/>
    <w:rsid w:val="0000770E"/>
    <w:rsid w:val="000077DF"/>
    <w:rsid w:val="0000780D"/>
    <w:rsid w:val="00007D63"/>
    <w:rsid w:val="00007E2E"/>
    <w:rsid w:val="000107EF"/>
    <w:rsid w:val="00010BF3"/>
    <w:rsid w:val="00010C06"/>
    <w:rsid w:val="00011BEA"/>
    <w:rsid w:val="0001245A"/>
    <w:rsid w:val="0001247E"/>
    <w:rsid w:val="00013459"/>
    <w:rsid w:val="00013481"/>
    <w:rsid w:val="00013750"/>
    <w:rsid w:val="00013D04"/>
    <w:rsid w:val="00013E08"/>
    <w:rsid w:val="00013F06"/>
    <w:rsid w:val="00013FD8"/>
    <w:rsid w:val="00014088"/>
    <w:rsid w:val="00014B6E"/>
    <w:rsid w:val="00014C07"/>
    <w:rsid w:val="00014D91"/>
    <w:rsid w:val="00015112"/>
    <w:rsid w:val="00015161"/>
    <w:rsid w:val="000152AF"/>
    <w:rsid w:val="00015AE2"/>
    <w:rsid w:val="0001663F"/>
    <w:rsid w:val="0001687B"/>
    <w:rsid w:val="0001692A"/>
    <w:rsid w:val="00017180"/>
    <w:rsid w:val="000171D0"/>
    <w:rsid w:val="0001724F"/>
    <w:rsid w:val="00017799"/>
    <w:rsid w:val="00017DCD"/>
    <w:rsid w:val="000201AA"/>
    <w:rsid w:val="00020AF1"/>
    <w:rsid w:val="00020D55"/>
    <w:rsid w:val="00021D79"/>
    <w:rsid w:val="00021E89"/>
    <w:rsid w:val="00022111"/>
    <w:rsid w:val="00022381"/>
    <w:rsid w:val="000224A6"/>
    <w:rsid w:val="000233B4"/>
    <w:rsid w:val="000237A0"/>
    <w:rsid w:val="00023834"/>
    <w:rsid w:val="00023FF0"/>
    <w:rsid w:val="00024641"/>
    <w:rsid w:val="00024794"/>
    <w:rsid w:val="000261A4"/>
    <w:rsid w:val="000261AE"/>
    <w:rsid w:val="00026339"/>
    <w:rsid w:val="00026A02"/>
    <w:rsid w:val="00026A7D"/>
    <w:rsid w:val="00027225"/>
    <w:rsid w:val="000275CB"/>
    <w:rsid w:val="00027881"/>
    <w:rsid w:val="00027CFA"/>
    <w:rsid w:val="00027D27"/>
    <w:rsid w:val="000301C3"/>
    <w:rsid w:val="00030205"/>
    <w:rsid w:val="000306EF"/>
    <w:rsid w:val="000308E4"/>
    <w:rsid w:val="00030EA6"/>
    <w:rsid w:val="00030EF7"/>
    <w:rsid w:val="000311C8"/>
    <w:rsid w:val="00031956"/>
    <w:rsid w:val="000319E0"/>
    <w:rsid w:val="00031D29"/>
    <w:rsid w:val="00032048"/>
    <w:rsid w:val="0003232D"/>
    <w:rsid w:val="00032421"/>
    <w:rsid w:val="000325B0"/>
    <w:rsid w:val="00033DB6"/>
    <w:rsid w:val="00033F52"/>
    <w:rsid w:val="000346B1"/>
    <w:rsid w:val="00034C95"/>
    <w:rsid w:val="00035498"/>
    <w:rsid w:val="00035951"/>
    <w:rsid w:val="00035CC2"/>
    <w:rsid w:val="00035F14"/>
    <w:rsid w:val="00036645"/>
    <w:rsid w:val="0003702A"/>
    <w:rsid w:val="0003719E"/>
    <w:rsid w:val="0003740E"/>
    <w:rsid w:val="0003745A"/>
    <w:rsid w:val="0003781C"/>
    <w:rsid w:val="00037946"/>
    <w:rsid w:val="00040037"/>
    <w:rsid w:val="00040078"/>
    <w:rsid w:val="0004074B"/>
    <w:rsid w:val="0004133E"/>
    <w:rsid w:val="00041361"/>
    <w:rsid w:val="00041D00"/>
    <w:rsid w:val="00042695"/>
    <w:rsid w:val="0004295D"/>
    <w:rsid w:val="00042AE0"/>
    <w:rsid w:val="00042D42"/>
    <w:rsid w:val="0004308C"/>
    <w:rsid w:val="0004326C"/>
    <w:rsid w:val="000436B7"/>
    <w:rsid w:val="00043887"/>
    <w:rsid w:val="00043ADF"/>
    <w:rsid w:val="00043DAD"/>
    <w:rsid w:val="00043E7B"/>
    <w:rsid w:val="00043E7D"/>
    <w:rsid w:val="00043F45"/>
    <w:rsid w:val="0004414E"/>
    <w:rsid w:val="000443CE"/>
    <w:rsid w:val="0004488E"/>
    <w:rsid w:val="00044E38"/>
    <w:rsid w:val="0004500C"/>
    <w:rsid w:val="000450BF"/>
    <w:rsid w:val="00045499"/>
    <w:rsid w:val="000463F4"/>
    <w:rsid w:val="00046BA8"/>
    <w:rsid w:val="00046C0E"/>
    <w:rsid w:val="00047552"/>
    <w:rsid w:val="00047715"/>
    <w:rsid w:val="00047D92"/>
    <w:rsid w:val="00047E45"/>
    <w:rsid w:val="00050048"/>
    <w:rsid w:val="000500A2"/>
    <w:rsid w:val="000504C4"/>
    <w:rsid w:val="00050EE9"/>
    <w:rsid w:val="0005145A"/>
    <w:rsid w:val="000515F1"/>
    <w:rsid w:val="00051DBF"/>
    <w:rsid w:val="00051E6E"/>
    <w:rsid w:val="00052240"/>
    <w:rsid w:val="00052307"/>
    <w:rsid w:val="000527C4"/>
    <w:rsid w:val="00052D9D"/>
    <w:rsid w:val="000530C3"/>
    <w:rsid w:val="0005311E"/>
    <w:rsid w:val="00053132"/>
    <w:rsid w:val="000539CB"/>
    <w:rsid w:val="00053AFA"/>
    <w:rsid w:val="00053BA0"/>
    <w:rsid w:val="0005415A"/>
    <w:rsid w:val="0005424D"/>
    <w:rsid w:val="000544AD"/>
    <w:rsid w:val="0005488D"/>
    <w:rsid w:val="00054C3D"/>
    <w:rsid w:val="00054E65"/>
    <w:rsid w:val="00055064"/>
    <w:rsid w:val="00055FC5"/>
    <w:rsid w:val="00056423"/>
    <w:rsid w:val="000564A1"/>
    <w:rsid w:val="000565D0"/>
    <w:rsid w:val="00056CA9"/>
    <w:rsid w:val="00056E73"/>
    <w:rsid w:val="0005734D"/>
    <w:rsid w:val="00057D1C"/>
    <w:rsid w:val="00057E00"/>
    <w:rsid w:val="000600E7"/>
    <w:rsid w:val="00060182"/>
    <w:rsid w:val="000605C5"/>
    <w:rsid w:val="00060FBB"/>
    <w:rsid w:val="00061173"/>
    <w:rsid w:val="000611DB"/>
    <w:rsid w:val="000611E6"/>
    <w:rsid w:val="000618DB"/>
    <w:rsid w:val="000618EE"/>
    <w:rsid w:val="0006190E"/>
    <w:rsid w:val="00062B44"/>
    <w:rsid w:val="00063391"/>
    <w:rsid w:val="00063661"/>
    <w:rsid w:val="00063C83"/>
    <w:rsid w:val="00063F3A"/>
    <w:rsid w:val="000645E5"/>
    <w:rsid w:val="0006471A"/>
    <w:rsid w:val="000648E6"/>
    <w:rsid w:val="00064F5E"/>
    <w:rsid w:val="0006524B"/>
    <w:rsid w:val="000659DC"/>
    <w:rsid w:val="00065A86"/>
    <w:rsid w:val="00066128"/>
    <w:rsid w:val="00066195"/>
    <w:rsid w:val="000662EF"/>
    <w:rsid w:val="000663E5"/>
    <w:rsid w:val="00066504"/>
    <w:rsid w:val="000665F4"/>
    <w:rsid w:val="0006726B"/>
    <w:rsid w:val="00067459"/>
    <w:rsid w:val="0006758B"/>
    <w:rsid w:val="00067611"/>
    <w:rsid w:val="00067705"/>
    <w:rsid w:val="0006793B"/>
    <w:rsid w:val="0006794C"/>
    <w:rsid w:val="00067B8F"/>
    <w:rsid w:val="00067C31"/>
    <w:rsid w:val="00070552"/>
    <w:rsid w:val="0007072E"/>
    <w:rsid w:val="00070786"/>
    <w:rsid w:val="00070FD4"/>
    <w:rsid w:val="00071008"/>
    <w:rsid w:val="000711C5"/>
    <w:rsid w:val="00071995"/>
    <w:rsid w:val="00071A74"/>
    <w:rsid w:val="00071E80"/>
    <w:rsid w:val="00072341"/>
    <w:rsid w:val="000723A1"/>
    <w:rsid w:val="0007257E"/>
    <w:rsid w:val="000725C0"/>
    <w:rsid w:val="0007275B"/>
    <w:rsid w:val="00072CDF"/>
    <w:rsid w:val="00072ED9"/>
    <w:rsid w:val="00073298"/>
    <w:rsid w:val="000732FD"/>
    <w:rsid w:val="0007333E"/>
    <w:rsid w:val="0007473B"/>
    <w:rsid w:val="000761AF"/>
    <w:rsid w:val="00076454"/>
    <w:rsid w:val="00076E43"/>
    <w:rsid w:val="0007728D"/>
    <w:rsid w:val="00077A22"/>
    <w:rsid w:val="00077B60"/>
    <w:rsid w:val="00080478"/>
    <w:rsid w:val="00080895"/>
    <w:rsid w:val="00080B9A"/>
    <w:rsid w:val="00080F84"/>
    <w:rsid w:val="00081C20"/>
    <w:rsid w:val="00082641"/>
    <w:rsid w:val="00082B49"/>
    <w:rsid w:val="00082BC6"/>
    <w:rsid w:val="00082C2A"/>
    <w:rsid w:val="00082F68"/>
    <w:rsid w:val="000833F2"/>
    <w:rsid w:val="000837C5"/>
    <w:rsid w:val="0008399B"/>
    <w:rsid w:val="00083D8B"/>
    <w:rsid w:val="00083DFB"/>
    <w:rsid w:val="0008404B"/>
    <w:rsid w:val="00084354"/>
    <w:rsid w:val="00084627"/>
    <w:rsid w:val="000848B1"/>
    <w:rsid w:val="00084D77"/>
    <w:rsid w:val="000858E4"/>
    <w:rsid w:val="00085A6F"/>
    <w:rsid w:val="00085F14"/>
    <w:rsid w:val="0008628C"/>
    <w:rsid w:val="0008637E"/>
    <w:rsid w:val="00086B72"/>
    <w:rsid w:val="00086E87"/>
    <w:rsid w:val="00087816"/>
    <w:rsid w:val="00087E84"/>
    <w:rsid w:val="000903B0"/>
    <w:rsid w:val="0009042C"/>
    <w:rsid w:val="00090520"/>
    <w:rsid w:val="0009056C"/>
    <w:rsid w:val="00090E57"/>
    <w:rsid w:val="0009123B"/>
    <w:rsid w:val="000912E8"/>
    <w:rsid w:val="00091311"/>
    <w:rsid w:val="00091B36"/>
    <w:rsid w:val="00091BE2"/>
    <w:rsid w:val="00092170"/>
    <w:rsid w:val="00092832"/>
    <w:rsid w:val="0009286B"/>
    <w:rsid w:val="00092FC9"/>
    <w:rsid w:val="0009337D"/>
    <w:rsid w:val="00093A1E"/>
    <w:rsid w:val="00094BC5"/>
    <w:rsid w:val="00094D2B"/>
    <w:rsid w:val="000954D7"/>
    <w:rsid w:val="00095C02"/>
    <w:rsid w:val="0009696F"/>
    <w:rsid w:val="00096A93"/>
    <w:rsid w:val="0009748E"/>
    <w:rsid w:val="000A068C"/>
    <w:rsid w:val="000A0988"/>
    <w:rsid w:val="000A1231"/>
    <w:rsid w:val="000A13A6"/>
    <w:rsid w:val="000A17DD"/>
    <w:rsid w:val="000A18BD"/>
    <w:rsid w:val="000A1988"/>
    <w:rsid w:val="000A2583"/>
    <w:rsid w:val="000A25C0"/>
    <w:rsid w:val="000A2ECE"/>
    <w:rsid w:val="000A2F66"/>
    <w:rsid w:val="000A2F72"/>
    <w:rsid w:val="000A33F5"/>
    <w:rsid w:val="000A360A"/>
    <w:rsid w:val="000A3CBF"/>
    <w:rsid w:val="000A3FE4"/>
    <w:rsid w:val="000A50ED"/>
    <w:rsid w:val="000A5E84"/>
    <w:rsid w:val="000A5F8F"/>
    <w:rsid w:val="000A61C7"/>
    <w:rsid w:val="000A645A"/>
    <w:rsid w:val="000A6B4D"/>
    <w:rsid w:val="000A6F0B"/>
    <w:rsid w:val="000A754A"/>
    <w:rsid w:val="000A76A0"/>
    <w:rsid w:val="000A79A0"/>
    <w:rsid w:val="000A79B9"/>
    <w:rsid w:val="000A7C97"/>
    <w:rsid w:val="000A7E16"/>
    <w:rsid w:val="000A7FCF"/>
    <w:rsid w:val="000B01BD"/>
    <w:rsid w:val="000B0831"/>
    <w:rsid w:val="000B08E6"/>
    <w:rsid w:val="000B12C7"/>
    <w:rsid w:val="000B1465"/>
    <w:rsid w:val="000B1766"/>
    <w:rsid w:val="000B1845"/>
    <w:rsid w:val="000B1E80"/>
    <w:rsid w:val="000B1EB1"/>
    <w:rsid w:val="000B2402"/>
    <w:rsid w:val="000B2789"/>
    <w:rsid w:val="000B3233"/>
    <w:rsid w:val="000B351D"/>
    <w:rsid w:val="000B3EB9"/>
    <w:rsid w:val="000B40CD"/>
    <w:rsid w:val="000B44D9"/>
    <w:rsid w:val="000B452E"/>
    <w:rsid w:val="000B47DE"/>
    <w:rsid w:val="000B47FF"/>
    <w:rsid w:val="000B4CA5"/>
    <w:rsid w:val="000B4E0B"/>
    <w:rsid w:val="000B5803"/>
    <w:rsid w:val="000B583F"/>
    <w:rsid w:val="000B5D48"/>
    <w:rsid w:val="000B5FC0"/>
    <w:rsid w:val="000B5FE1"/>
    <w:rsid w:val="000B6354"/>
    <w:rsid w:val="000B6498"/>
    <w:rsid w:val="000B702D"/>
    <w:rsid w:val="000B7235"/>
    <w:rsid w:val="000B771E"/>
    <w:rsid w:val="000B7876"/>
    <w:rsid w:val="000C01E3"/>
    <w:rsid w:val="000C0A23"/>
    <w:rsid w:val="000C1402"/>
    <w:rsid w:val="000C1548"/>
    <w:rsid w:val="000C1696"/>
    <w:rsid w:val="000C1915"/>
    <w:rsid w:val="000C1DF6"/>
    <w:rsid w:val="000C201A"/>
    <w:rsid w:val="000C20CE"/>
    <w:rsid w:val="000C2227"/>
    <w:rsid w:val="000C26DB"/>
    <w:rsid w:val="000C2A1E"/>
    <w:rsid w:val="000C2F2C"/>
    <w:rsid w:val="000C34F7"/>
    <w:rsid w:val="000C3564"/>
    <w:rsid w:val="000C43EA"/>
    <w:rsid w:val="000C4E59"/>
    <w:rsid w:val="000C4F24"/>
    <w:rsid w:val="000C5E0E"/>
    <w:rsid w:val="000C5F5D"/>
    <w:rsid w:val="000C630A"/>
    <w:rsid w:val="000C6766"/>
    <w:rsid w:val="000C67A3"/>
    <w:rsid w:val="000C70C2"/>
    <w:rsid w:val="000C75D5"/>
    <w:rsid w:val="000D01F8"/>
    <w:rsid w:val="000D021A"/>
    <w:rsid w:val="000D0665"/>
    <w:rsid w:val="000D106F"/>
    <w:rsid w:val="000D16E5"/>
    <w:rsid w:val="000D1707"/>
    <w:rsid w:val="000D1A77"/>
    <w:rsid w:val="000D1B74"/>
    <w:rsid w:val="000D1E66"/>
    <w:rsid w:val="000D1EEC"/>
    <w:rsid w:val="000D1F81"/>
    <w:rsid w:val="000D20BC"/>
    <w:rsid w:val="000D2297"/>
    <w:rsid w:val="000D2479"/>
    <w:rsid w:val="000D25FE"/>
    <w:rsid w:val="000D3531"/>
    <w:rsid w:val="000D3DD4"/>
    <w:rsid w:val="000D4311"/>
    <w:rsid w:val="000D46AD"/>
    <w:rsid w:val="000D48B5"/>
    <w:rsid w:val="000D4AC7"/>
    <w:rsid w:val="000D53FF"/>
    <w:rsid w:val="000D5517"/>
    <w:rsid w:val="000D63F1"/>
    <w:rsid w:val="000D6436"/>
    <w:rsid w:val="000D699D"/>
    <w:rsid w:val="000D7005"/>
    <w:rsid w:val="000D7231"/>
    <w:rsid w:val="000D766E"/>
    <w:rsid w:val="000D783C"/>
    <w:rsid w:val="000D7882"/>
    <w:rsid w:val="000D7D60"/>
    <w:rsid w:val="000E01C0"/>
    <w:rsid w:val="000E047F"/>
    <w:rsid w:val="000E0484"/>
    <w:rsid w:val="000E06DB"/>
    <w:rsid w:val="000E0F51"/>
    <w:rsid w:val="000E132A"/>
    <w:rsid w:val="000E1E34"/>
    <w:rsid w:val="000E1E44"/>
    <w:rsid w:val="000E24AD"/>
    <w:rsid w:val="000E2C9E"/>
    <w:rsid w:val="000E2FC0"/>
    <w:rsid w:val="000E33DB"/>
    <w:rsid w:val="000E34AE"/>
    <w:rsid w:val="000E36CE"/>
    <w:rsid w:val="000E3997"/>
    <w:rsid w:val="000E39E0"/>
    <w:rsid w:val="000E39FE"/>
    <w:rsid w:val="000E3B34"/>
    <w:rsid w:val="000E4114"/>
    <w:rsid w:val="000E4431"/>
    <w:rsid w:val="000E4C2D"/>
    <w:rsid w:val="000E4D46"/>
    <w:rsid w:val="000E5091"/>
    <w:rsid w:val="000E5545"/>
    <w:rsid w:val="000E5A89"/>
    <w:rsid w:val="000E66AA"/>
    <w:rsid w:val="000E68AC"/>
    <w:rsid w:val="000E6FAB"/>
    <w:rsid w:val="000E71EC"/>
    <w:rsid w:val="000E732D"/>
    <w:rsid w:val="000E736D"/>
    <w:rsid w:val="000E75E8"/>
    <w:rsid w:val="000E7F4F"/>
    <w:rsid w:val="000F073C"/>
    <w:rsid w:val="000F0E5F"/>
    <w:rsid w:val="000F0E82"/>
    <w:rsid w:val="000F126F"/>
    <w:rsid w:val="000F1A84"/>
    <w:rsid w:val="000F1F4D"/>
    <w:rsid w:val="000F2778"/>
    <w:rsid w:val="000F2855"/>
    <w:rsid w:val="000F2909"/>
    <w:rsid w:val="000F2E9A"/>
    <w:rsid w:val="000F30C5"/>
    <w:rsid w:val="000F3782"/>
    <w:rsid w:val="000F391D"/>
    <w:rsid w:val="000F3EAA"/>
    <w:rsid w:val="000F417F"/>
    <w:rsid w:val="000F4B5C"/>
    <w:rsid w:val="000F5181"/>
    <w:rsid w:val="000F55BE"/>
    <w:rsid w:val="000F5DD6"/>
    <w:rsid w:val="000F611A"/>
    <w:rsid w:val="000F653F"/>
    <w:rsid w:val="000F6DD4"/>
    <w:rsid w:val="000F775F"/>
    <w:rsid w:val="001004A9"/>
    <w:rsid w:val="001004DD"/>
    <w:rsid w:val="00100AC7"/>
    <w:rsid w:val="00100DC1"/>
    <w:rsid w:val="00100DD3"/>
    <w:rsid w:val="001019CA"/>
    <w:rsid w:val="00101B0B"/>
    <w:rsid w:val="00102062"/>
    <w:rsid w:val="001022E5"/>
    <w:rsid w:val="0010230A"/>
    <w:rsid w:val="0010244E"/>
    <w:rsid w:val="0010247C"/>
    <w:rsid w:val="0010283A"/>
    <w:rsid w:val="001029BC"/>
    <w:rsid w:val="00102DAB"/>
    <w:rsid w:val="00102DC1"/>
    <w:rsid w:val="00103011"/>
    <w:rsid w:val="001032DB"/>
    <w:rsid w:val="001036D6"/>
    <w:rsid w:val="0010395A"/>
    <w:rsid w:val="00103AEF"/>
    <w:rsid w:val="00103C20"/>
    <w:rsid w:val="00104066"/>
    <w:rsid w:val="001049D6"/>
    <w:rsid w:val="00105288"/>
    <w:rsid w:val="0010604E"/>
    <w:rsid w:val="00106605"/>
    <w:rsid w:val="001067BD"/>
    <w:rsid w:val="001067FC"/>
    <w:rsid w:val="00106A0F"/>
    <w:rsid w:val="0010737D"/>
    <w:rsid w:val="00107D0F"/>
    <w:rsid w:val="0011030C"/>
    <w:rsid w:val="00110B35"/>
    <w:rsid w:val="00111979"/>
    <w:rsid w:val="00111E86"/>
    <w:rsid w:val="00112311"/>
    <w:rsid w:val="00112BE9"/>
    <w:rsid w:val="00112EDA"/>
    <w:rsid w:val="00113163"/>
    <w:rsid w:val="001133D8"/>
    <w:rsid w:val="00113691"/>
    <w:rsid w:val="0011387A"/>
    <w:rsid w:val="00113B92"/>
    <w:rsid w:val="0011422A"/>
    <w:rsid w:val="0011428E"/>
    <w:rsid w:val="001143D1"/>
    <w:rsid w:val="00114623"/>
    <w:rsid w:val="00115261"/>
    <w:rsid w:val="001157A2"/>
    <w:rsid w:val="00115B33"/>
    <w:rsid w:val="00116194"/>
    <w:rsid w:val="00116346"/>
    <w:rsid w:val="001165C9"/>
    <w:rsid w:val="0011743C"/>
    <w:rsid w:val="00117904"/>
    <w:rsid w:val="00117A85"/>
    <w:rsid w:val="00117AC8"/>
    <w:rsid w:val="00117DE5"/>
    <w:rsid w:val="00117FD5"/>
    <w:rsid w:val="001202FA"/>
    <w:rsid w:val="00120DFF"/>
    <w:rsid w:val="001211BB"/>
    <w:rsid w:val="0012138D"/>
    <w:rsid w:val="001215A7"/>
    <w:rsid w:val="00122057"/>
    <w:rsid w:val="0012237C"/>
    <w:rsid w:val="001225B4"/>
    <w:rsid w:val="001230F5"/>
    <w:rsid w:val="00123F75"/>
    <w:rsid w:val="00123FBB"/>
    <w:rsid w:val="001241E8"/>
    <w:rsid w:val="001248BF"/>
    <w:rsid w:val="0012585D"/>
    <w:rsid w:val="00125929"/>
    <w:rsid w:val="00125944"/>
    <w:rsid w:val="00125B07"/>
    <w:rsid w:val="00125B68"/>
    <w:rsid w:val="00125CE4"/>
    <w:rsid w:val="00126146"/>
    <w:rsid w:val="0012620A"/>
    <w:rsid w:val="001266DE"/>
    <w:rsid w:val="00127F17"/>
    <w:rsid w:val="0013058A"/>
    <w:rsid w:val="0013067F"/>
    <w:rsid w:val="00130C83"/>
    <w:rsid w:val="00130F0B"/>
    <w:rsid w:val="001312DB"/>
    <w:rsid w:val="0013131B"/>
    <w:rsid w:val="00131ACB"/>
    <w:rsid w:val="00132D1F"/>
    <w:rsid w:val="00132DED"/>
    <w:rsid w:val="00132E88"/>
    <w:rsid w:val="00132FB2"/>
    <w:rsid w:val="0013312B"/>
    <w:rsid w:val="00133381"/>
    <w:rsid w:val="00133FC2"/>
    <w:rsid w:val="001340C2"/>
    <w:rsid w:val="0013474C"/>
    <w:rsid w:val="00135B1D"/>
    <w:rsid w:val="00135C54"/>
    <w:rsid w:val="0013689D"/>
    <w:rsid w:val="00136BA1"/>
    <w:rsid w:val="00137006"/>
    <w:rsid w:val="0013700E"/>
    <w:rsid w:val="00137134"/>
    <w:rsid w:val="00137D14"/>
    <w:rsid w:val="00140150"/>
    <w:rsid w:val="00140541"/>
    <w:rsid w:val="00140568"/>
    <w:rsid w:val="00140580"/>
    <w:rsid w:val="0014121A"/>
    <w:rsid w:val="00141AC9"/>
    <w:rsid w:val="00141C95"/>
    <w:rsid w:val="00141CFF"/>
    <w:rsid w:val="001420A3"/>
    <w:rsid w:val="001421A5"/>
    <w:rsid w:val="00142206"/>
    <w:rsid w:val="00142629"/>
    <w:rsid w:val="00142845"/>
    <w:rsid w:val="001428E2"/>
    <w:rsid w:val="00142BB6"/>
    <w:rsid w:val="00143744"/>
    <w:rsid w:val="0014421D"/>
    <w:rsid w:val="00144E7A"/>
    <w:rsid w:val="001450E5"/>
    <w:rsid w:val="00145973"/>
    <w:rsid w:val="001459E9"/>
    <w:rsid w:val="00145F67"/>
    <w:rsid w:val="00145F87"/>
    <w:rsid w:val="00146461"/>
    <w:rsid w:val="001466D3"/>
    <w:rsid w:val="00146C08"/>
    <w:rsid w:val="00146C47"/>
    <w:rsid w:val="001470A1"/>
    <w:rsid w:val="001475EC"/>
    <w:rsid w:val="001477C7"/>
    <w:rsid w:val="00147875"/>
    <w:rsid w:val="00147935"/>
    <w:rsid w:val="00147F7C"/>
    <w:rsid w:val="0015041C"/>
    <w:rsid w:val="0015077C"/>
    <w:rsid w:val="001507D9"/>
    <w:rsid w:val="00150898"/>
    <w:rsid w:val="00150F78"/>
    <w:rsid w:val="00151520"/>
    <w:rsid w:val="00151E60"/>
    <w:rsid w:val="001522A4"/>
    <w:rsid w:val="00152548"/>
    <w:rsid w:val="00152823"/>
    <w:rsid w:val="00152ABF"/>
    <w:rsid w:val="00152BDF"/>
    <w:rsid w:val="00153694"/>
    <w:rsid w:val="00153BA3"/>
    <w:rsid w:val="00153C6C"/>
    <w:rsid w:val="00153EE3"/>
    <w:rsid w:val="001544AB"/>
    <w:rsid w:val="00154E97"/>
    <w:rsid w:val="0015507D"/>
    <w:rsid w:val="001552BD"/>
    <w:rsid w:val="001557D9"/>
    <w:rsid w:val="00155950"/>
    <w:rsid w:val="001559BC"/>
    <w:rsid w:val="00156103"/>
    <w:rsid w:val="00156FB4"/>
    <w:rsid w:val="0015705A"/>
    <w:rsid w:val="00157766"/>
    <w:rsid w:val="001578E1"/>
    <w:rsid w:val="0015793A"/>
    <w:rsid w:val="00157B41"/>
    <w:rsid w:val="00157C4A"/>
    <w:rsid w:val="001600BD"/>
    <w:rsid w:val="00160404"/>
    <w:rsid w:val="001605AE"/>
    <w:rsid w:val="00160642"/>
    <w:rsid w:val="00160709"/>
    <w:rsid w:val="00160A42"/>
    <w:rsid w:val="001610C5"/>
    <w:rsid w:val="00161228"/>
    <w:rsid w:val="0016186E"/>
    <w:rsid w:val="001620F0"/>
    <w:rsid w:val="00162402"/>
    <w:rsid w:val="001625AF"/>
    <w:rsid w:val="00163162"/>
    <w:rsid w:val="0016331B"/>
    <w:rsid w:val="0016383B"/>
    <w:rsid w:val="00163B00"/>
    <w:rsid w:val="0016421A"/>
    <w:rsid w:val="00164BE9"/>
    <w:rsid w:val="00164FC4"/>
    <w:rsid w:val="001653F6"/>
    <w:rsid w:val="0016567B"/>
    <w:rsid w:val="00165A5A"/>
    <w:rsid w:val="0016625E"/>
    <w:rsid w:val="0016626E"/>
    <w:rsid w:val="001664D9"/>
    <w:rsid w:val="001666B6"/>
    <w:rsid w:val="00166773"/>
    <w:rsid w:val="00166DE0"/>
    <w:rsid w:val="00166E63"/>
    <w:rsid w:val="00167333"/>
    <w:rsid w:val="00167C54"/>
    <w:rsid w:val="00167CE3"/>
    <w:rsid w:val="00167DAA"/>
    <w:rsid w:val="00170196"/>
    <w:rsid w:val="0017032E"/>
    <w:rsid w:val="001706E2"/>
    <w:rsid w:val="001719C8"/>
    <w:rsid w:val="00171A33"/>
    <w:rsid w:val="00171C26"/>
    <w:rsid w:val="00171DBD"/>
    <w:rsid w:val="00172286"/>
    <w:rsid w:val="00172529"/>
    <w:rsid w:val="00172547"/>
    <w:rsid w:val="0017267C"/>
    <w:rsid w:val="001729DD"/>
    <w:rsid w:val="00172EB5"/>
    <w:rsid w:val="00172EDA"/>
    <w:rsid w:val="00173457"/>
    <w:rsid w:val="00173540"/>
    <w:rsid w:val="00173D5D"/>
    <w:rsid w:val="001741E3"/>
    <w:rsid w:val="001743B9"/>
    <w:rsid w:val="001746C0"/>
    <w:rsid w:val="0017486A"/>
    <w:rsid w:val="00175A5B"/>
    <w:rsid w:val="00176600"/>
    <w:rsid w:val="00176F51"/>
    <w:rsid w:val="0017755B"/>
    <w:rsid w:val="0017787C"/>
    <w:rsid w:val="0018014D"/>
    <w:rsid w:val="0018049E"/>
    <w:rsid w:val="00180AE8"/>
    <w:rsid w:val="00180DEF"/>
    <w:rsid w:val="001811BD"/>
    <w:rsid w:val="00181251"/>
    <w:rsid w:val="001813BD"/>
    <w:rsid w:val="001818BE"/>
    <w:rsid w:val="00181A50"/>
    <w:rsid w:val="00181BEF"/>
    <w:rsid w:val="00181CC1"/>
    <w:rsid w:val="00182103"/>
    <w:rsid w:val="00182184"/>
    <w:rsid w:val="00182599"/>
    <w:rsid w:val="00182A07"/>
    <w:rsid w:val="00182BCC"/>
    <w:rsid w:val="00182DEF"/>
    <w:rsid w:val="00182EFB"/>
    <w:rsid w:val="00182F09"/>
    <w:rsid w:val="0018312D"/>
    <w:rsid w:val="00183832"/>
    <w:rsid w:val="0018384E"/>
    <w:rsid w:val="001839EC"/>
    <w:rsid w:val="00183D4A"/>
    <w:rsid w:val="001849C2"/>
    <w:rsid w:val="00184CBE"/>
    <w:rsid w:val="00185084"/>
    <w:rsid w:val="001850C1"/>
    <w:rsid w:val="001853E9"/>
    <w:rsid w:val="00185F77"/>
    <w:rsid w:val="001868F9"/>
    <w:rsid w:val="00186D2D"/>
    <w:rsid w:val="00187283"/>
    <w:rsid w:val="001874F1"/>
    <w:rsid w:val="00187DB9"/>
    <w:rsid w:val="00187DDF"/>
    <w:rsid w:val="00190919"/>
    <w:rsid w:val="00190E9D"/>
    <w:rsid w:val="00191D5F"/>
    <w:rsid w:val="00192451"/>
    <w:rsid w:val="0019284E"/>
    <w:rsid w:val="0019370E"/>
    <w:rsid w:val="00193852"/>
    <w:rsid w:val="00194535"/>
    <w:rsid w:val="00194C18"/>
    <w:rsid w:val="00195559"/>
    <w:rsid w:val="00195695"/>
    <w:rsid w:val="0019588A"/>
    <w:rsid w:val="001959D6"/>
    <w:rsid w:val="00195ACC"/>
    <w:rsid w:val="00195D4C"/>
    <w:rsid w:val="00196B8D"/>
    <w:rsid w:val="001976F6"/>
    <w:rsid w:val="0019792A"/>
    <w:rsid w:val="001979FE"/>
    <w:rsid w:val="00197F25"/>
    <w:rsid w:val="001A02E5"/>
    <w:rsid w:val="001A04F7"/>
    <w:rsid w:val="001A051C"/>
    <w:rsid w:val="001A08C8"/>
    <w:rsid w:val="001A1334"/>
    <w:rsid w:val="001A1497"/>
    <w:rsid w:val="001A1F12"/>
    <w:rsid w:val="001A21B5"/>
    <w:rsid w:val="001A23EF"/>
    <w:rsid w:val="001A2505"/>
    <w:rsid w:val="001A2635"/>
    <w:rsid w:val="001A264B"/>
    <w:rsid w:val="001A2F71"/>
    <w:rsid w:val="001A3C61"/>
    <w:rsid w:val="001A3E4F"/>
    <w:rsid w:val="001A4505"/>
    <w:rsid w:val="001A4734"/>
    <w:rsid w:val="001A496B"/>
    <w:rsid w:val="001A49D4"/>
    <w:rsid w:val="001A4EF1"/>
    <w:rsid w:val="001A58AB"/>
    <w:rsid w:val="001A5CF7"/>
    <w:rsid w:val="001A5DD4"/>
    <w:rsid w:val="001A6202"/>
    <w:rsid w:val="001A65B3"/>
    <w:rsid w:val="001A6A43"/>
    <w:rsid w:val="001A6DDB"/>
    <w:rsid w:val="001A6E4F"/>
    <w:rsid w:val="001A6FF8"/>
    <w:rsid w:val="001A7357"/>
    <w:rsid w:val="001A76B7"/>
    <w:rsid w:val="001A77D8"/>
    <w:rsid w:val="001A7A43"/>
    <w:rsid w:val="001A7C0A"/>
    <w:rsid w:val="001A7FBA"/>
    <w:rsid w:val="001B0258"/>
    <w:rsid w:val="001B04C8"/>
    <w:rsid w:val="001B134F"/>
    <w:rsid w:val="001B14CF"/>
    <w:rsid w:val="001B1582"/>
    <w:rsid w:val="001B17A6"/>
    <w:rsid w:val="001B17FA"/>
    <w:rsid w:val="001B185C"/>
    <w:rsid w:val="001B1AE8"/>
    <w:rsid w:val="001B20CE"/>
    <w:rsid w:val="001B2577"/>
    <w:rsid w:val="001B28C1"/>
    <w:rsid w:val="001B29B4"/>
    <w:rsid w:val="001B3273"/>
    <w:rsid w:val="001B3314"/>
    <w:rsid w:val="001B34B6"/>
    <w:rsid w:val="001B49BA"/>
    <w:rsid w:val="001B4AEF"/>
    <w:rsid w:val="001B5186"/>
    <w:rsid w:val="001B5731"/>
    <w:rsid w:val="001B58B1"/>
    <w:rsid w:val="001B5BD4"/>
    <w:rsid w:val="001B5EFF"/>
    <w:rsid w:val="001B67ED"/>
    <w:rsid w:val="001B7729"/>
    <w:rsid w:val="001B7B4C"/>
    <w:rsid w:val="001B7CD5"/>
    <w:rsid w:val="001B7D72"/>
    <w:rsid w:val="001C0D20"/>
    <w:rsid w:val="001C0D2B"/>
    <w:rsid w:val="001C1B2E"/>
    <w:rsid w:val="001C344E"/>
    <w:rsid w:val="001C366D"/>
    <w:rsid w:val="001C39A8"/>
    <w:rsid w:val="001C3E2B"/>
    <w:rsid w:val="001C4349"/>
    <w:rsid w:val="001C4A9B"/>
    <w:rsid w:val="001C4D5D"/>
    <w:rsid w:val="001C5A37"/>
    <w:rsid w:val="001C5E24"/>
    <w:rsid w:val="001C635C"/>
    <w:rsid w:val="001C6A0A"/>
    <w:rsid w:val="001C6CE7"/>
    <w:rsid w:val="001C74B1"/>
    <w:rsid w:val="001C7B0B"/>
    <w:rsid w:val="001C7DC2"/>
    <w:rsid w:val="001D0B14"/>
    <w:rsid w:val="001D0BE9"/>
    <w:rsid w:val="001D0D3F"/>
    <w:rsid w:val="001D1349"/>
    <w:rsid w:val="001D1378"/>
    <w:rsid w:val="001D1FD3"/>
    <w:rsid w:val="001D2CA6"/>
    <w:rsid w:val="001D2E2F"/>
    <w:rsid w:val="001D2ECA"/>
    <w:rsid w:val="001D2F6F"/>
    <w:rsid w:val="001D33B3"/>
    <w:rsid w:val="001D4BCD"/>
    <w:rsid w:val="001D4C46"/>
    <w:rsid w:val="001D4DEF"/>
    <w:rsid w:val="001D5191"/>
    <w:rsid w:val="001D5529"/>
    <w:rsid w:val="001D55BB"/>
    <w:rsid w:val="001D575B"/>
    <w:rsid w:val="001D5A3C"/>
    <w:rsid w:val="001D5AB2"/>
    <w:rsid w:val="001D615E"/>
    <w:rsid w:val="001D6406"/>
    <w:rsid w:val="001D64E2"/>
    <w:rsid w:val="001D651C"/>
    <w:rsid w:val="001D6650"/>
    <w:rsid w:val="001D6DCE"/>
    <w:rsid w:val="001E0463"/>
    <w:rsid w:val="001E0BAC"/>
    <w:rsid w:val="001E0C1E"/>
    <w:rsid w:val="001E1358"/>
    <w:rsid w:val="001E15E8"/>
    <w:rsid w:val="001E17F9"/>
    <w:rsid w:val="001E1C2E"/>
    <w:rsid w:val="001E2198"/>
    <w:rsid w:val="001E2503"/>
    <w:rsid w:val="001E2672"/>
    <w:rsid w:val="001E26BB"/>
    <w:rsid w:val="001E3479"/>
    <w:rsid w:val="001E38EF"/>
    <w:rsid w:val="001E38FA"/>
    <w:rsid w:val="001E3E69"/>
    <w:rsid w:val="001E3FB3"/>
    <w:rsid w:val="001E4231"/>
    <w:rsid w:val="001E471B"/>
    <w:rsid w:val="001E48E3"/>
    <w:rsid w:val="001E4974"/>
    <w:rsid w:val="001E4C47"/>
    <w:rsid w:val="001E4DDF"/>
    <w:rsid w:val="001E50FB"/>
    <w:rsid w:val="001E5595"/>
    <w:rsid w:val="001E55D1"/>
    <w:rsid w:val="001E58BC"/>
    <w:rsid w:val="001E5C62"/>
    <w:rsid w:val="001E5D1F"/>
    <w:rsid w:val="001E61C6"/>
    <w:rsid w:val="001E63D7"/>
    <w:rsid w:val="001E6981"/>
    <w:rsid w:val="001E6E1E"/>
    <w:rsid w:val="001E7987"/>
    <w:rsid w:val="001E79B0"/>
    <w:rsid w:val="001F01B8"/>
    <w:rsid w:val="001F03DC"/>
    <w:rsid w:val="001F04E1"/>
    <w:rsid w:val="001F0634"/>
    <w:rsid w:val="001F0EAD"/>
    <w:rsid w:val="001F1E2E"/>
    <w:rsid w:val="001F236E"/>
    <w:rsid w:val="001F27C6"/>
    <w:rsid w:val="001F2A57"/>
    <w:rsid w:val="001F2D95"/>
    <w:rsid w:val="001F2D9C"/>
    <w:rsid w:val="001F2E09"/>
    <w:rsid w:val="001F31BC"/>
    <w:rsid w:val="001F3BDB"/>
    <w:rsid w:val="001F3C1F"/>
    <w:rsid w:val="001F458A"/>
    <w:rsid w:val="001F45DE"/>
    <w:rsid w:val="001F46A3"/>
    <w:rsid w:val="001F4797"/>
    <w:rsid w:val="001F4D34"/>
    <w:rsid w:val="001F5B0D"/>
    <w:rsid w:val="001F5B7F"/>
    <w:rsid w:val="001F60A7"/>
    <w:rsid w:val="001F60C9"/>
    <w:rsid w:val="001F6B28"/>
    <w:rsid w:val="001F78C1"/>
    <w:rsid w:val="001F7C2D"/>
    <w:rsid w:val="00200F8B"/>
    <w:rsid w:val="00201D4D"/>
    <w:rsid w:val="0020216B"/>
    <w:rsid w:val="00202A13"/>
    <w:rsid w:val="00202C0C"/>
    <w:rsid w:val="0020429B"/>
    <w:rsid w:val="00204445"/>
    <w:rsid w:val="002047C1"/>
    <w:rsid w:val="00204BFF"/>
    <w:rsid w:val="00204F60"/>
    <w:rsid w:val="00204FB9"/>
    <w:rsid w:val="002052C8"/>
    <w:rsid w:val="00205584"/>
    <w:rsid w:val="00205F8C"/>
    <w:rsid w:val="0020616B"/>
    <w:rsid w:val="0020652D"/>
    <w:rsid w:val="00206701"/>
    <w:rsid w:val="002068B8"/>
    <w:rsid w:val="00207195"/>
    <w:rsid w:val="00207205"/>
    <w:rsid w:val="0020729E"/>
    <w:rsid w:val="0020732E"/>
    <w:rsid w:val="0020780F"/>
    <w:rsid w:val="0020784B"/>
    <w:rsid w:val="00207EEA"/>
    <w:rsid w:val="00207F21"/>
    <w:rsid w:val="00210B42"/>
    <w:rsid w:val="00210B50"/>
    <w:rsid w:val="00210FF1"/>
    <w:rsid w:val="0021164C"/>
    <w:rsid w:val="00211C1B"/>
    <w:rsid w:val="00212D28"/>
    <w:rsid w:val="00213366"/>
    <w:rsid w:val="002139C7"/>
    <w:rsid w:val="00213B52"/>
    <w:rsid w:val="00214376"/>
    <w:rsid w:val="00214984"/>
    <w:rsid w:val="00214B4E"/>
    <w:rsid w:val="00215D11"/>
    <w:rsid w:val="00216981"/>
    <w:rsid w:val="00217473"/>
    <w:rsid w:val="002176F3"/>
    <w:rsid w:val="00217E7F"/>
    <w:rsid w:val="0022032B"/>
    <w:rsid w:val="002204CA"/>
    <w:rsid w:val="00220B20"/>
    <w:rsid w:val="00220F68"/>
    <w:rsid w:val="002212C6"/>
    <w:rsid w:val="002213B0"/>
    <w:rsid w:val="00221501"/>
    <w:rsid w:val="00221FCF"/>
    <w:rsid w:val="0022218C"/>
    <w:rsid w:val="002223B1"/>
    <w:rsid w:val="0022290B"/>
    <w:rsid w:val="00222BE8"/>
    <w:rsid w:val="00222E40"/>
    <w:rsid w:val="00223087"/>
    <w:rsid w:val="00223254"/>
    <w:rsid w:val="00223746"/>
    <w:rsid w:val="002237E9"/>
    <w:rsid w:val="00223EBA"/>
    <w:rsid w:val="00224046"/>
    <w:rsid w:val="00224134"/>
    <w:rsid w:val="0022424A"/>
    <w:rsid w:val="002244AE"/>
    <w:rsid w:val="00224561"/>
    <w:rsid w:val="00224AAB"/>
    <w:rsid w:val="00225418"/>
    <w:rsid w:val="00225493"/>
    <w:rsid w:val="002256A8"/>
    <w:rsid w:val="002258FE"/>
    <w:rsid w:val="00226075"/>
    <w:rsid w:val="002263F7"/>
    <w:rsid w:val="00226A8B"/>
    <w:rsid w:val="002271BE"/>
    <w:rsid w:val="00227205"/>
    <w:rsid w:val="0022777C"/>
    <w:rsid w:val="00227928"/>
    <w:rsid w:val="00227A39"/>
    <w:rsid w:val="0023004F"/>
    <w:rsid w:val="002303F6"/>
    <w:rsid w:val="00230718"/>
    <w:rsid w:val="00230853"/>
    <w:rsid w:val="00230B29"/>
    <w:rsid w:val="00230EA7"/>
    <w:rsid w:val="00230F29"/>
    <w:rsid w:val="00230F96"/>
    <w:rsid w:val="00231029"/>
    <w:rsid w:val="002317D7"/>
    <w:rsid w:val="00231F50"/>
    <w:rsid w:val="00232744"/>
    <w:rsid w:val="00232F35"/>
    <w:rsid w:val="0023386E"/>
    <w:rsid w:val="00233A74"/>
    <w:rsid w:val="002343B1"/>
    <w:rsid w:val="002343DA"/>
    <w:rsid w:val="002344E6"/>
    <w:rsid w:val="00234555"/>
    <w:rsid w:val="00235509"/>
    <w:rsid w:val="00235B41"/>
    <w:rsid w:val="00235B9D"/>
    <w:rsid w:val="0023606E"/>
    <w:rsid w:val="0023765F"/>
    <w:rsid w:val="002378DA"/>
    <w:rsid w:val="00237935"/>
    <w:rsid w:val="00237B34"/>
    <w:rsid w:val="0024084C"/>
    <w:rsid w:val="002408F0"/>
    <w:rsid w:val="00240CC4"/>
    <w:rsid w:val="00240F10"/>
    <w:rsid w:val="002415DC"/>
    <w:rsid w:val="00241900"/>
    <w:rsid w:val="00242A85"/>
    <w:rsid w:val="00242EFB"/>
    <w:rsid w:val="002432DD"/>
    <w:rsid w:val="00244376"/>
    <w:rsid w:val="00244899"/>
    <w:rsid w:val="00244C2A"/>
    <w:rsid w:val="00244E82"/>
    <w:rsid w:val="00245261"/>
    <w:rsid w:val="0024550E"/>
    <w:rsid w:val="00245557"/>
    <w:rsid w:val="002457CB"/>
    <w:rsid w:val="00245D64"/>
    <w:rsid w:val="00245EC0"/>
    <w:rsid w:val="00245F4D"/>
    <w:rsid w:val="00245FCF"/>
    <w:rsid w:val="002464D2"/>
    <w:rsid w:val="00246544"/>
    <w:rsid w:val="002465B0"/>
    <w:rsid w:val="002477AD"/>
    <w:rsid w:val="00247CE2"/>
    <w:rsid w:val="0025034A"/>
    <w:rsid w:val="00250C66"/>
    <w:rsid w:val="00251A81"/>
    <w:rsid w:val="00251AAF"/>
    <w:rsid w:val="00251BD2"/>
    <w:rsid w:val="00251EB4"/>
    <w:rsid w:val="00252142"/>
    <w:rsid w:val="00252332"/>
    <w:rsid w:val="00252DD4"/>
    <w:rsid w:val="00252FEA"/>
    <w:rsid w:val="0025403C"/>
    <w:rsid w:val="0025480F"/>
    <w:rsid w:val="00254F30"/>
    <w:rsid w:val="00255020"/>
    <w:rsid w:val="002551EE"/>
    <w:rsid w:val="00255357"/>
    <w:rsid w:val="002554FB"/>
    <w:rsid w:val="00255988"/>
    <w:rsid w:val="002563D3"/>
    <w:rsid w:val="0025768A"/>
    <w:rsid w:val="0025772E"/>
    <w:rsid w:val="0025798A"/>
    <w:rsid w:val="00257C28"/>
    <w:rsid w:val="0026032B"/>
    <w:rsid w:val="00260772"/>
    <w:rsid w:val="002608E3"/>
    <w:rsid w:val="00260BD6"/>
    <w:rsid w:val="00260CAC"/>
    <w:rsid w:val="00260D35"/>
    <w:rsid w:val="00262020"/>
    <w:rsid w:val="002626F7"/>
    <w:rsid w:val="00262B19"/>
    <w:rsid w:val="00262B3A"/>
    <w:rsid w:val="00262C72"/>
    <w:rsid w:val="00263382"/>
    <w:rsid w:val="0026343A"/>
    <w:rsid w:val="00263515"/>
    <w:rsid w:val="00263BFF"/>
    <w:rsid w:val="00264058"/>
    <w:rsid w:val="0026428B"/>
    <w:rsid w:val="002645DD"/>
    <w:rsid w:val="00265099"/>
    <w:rsid w:val="00265555"/>
    <w:rsid w:val="00265BE8"/>
    <w:rsid w:val="002660F1"/>
    <w:rsid w:val="00266192"/>
    <w:rsid w:val="002662DF"/>
    <w:rsid w:val="00266808"/>
    <w:rsid w:val="0026696D"/>
    <w:rsid w:val="00266B65"/>
    <w:rsid w:val="00266E43"/>
    <w:rsid w:val="00267042"/>
    <w:rsid w:val="00267087"/>
    <w:rsid w:val="0026756B"/>
    <w:rsid w:val="0026757D"/>
    <w:rsid w:val="002701D4"/>
    <w:rsid w:val="002702B3"/>
    <w:rsid w:val="002710E4"/>
    <w:rsid w:val="0027180B"/>
    <w:rsid w:val="00271F56"/>
    <w:rsid w:val="00271FA9"/>
    <w:rsid w:val="002724A7"/>
    <w:rsid w:val="002725D4"/>
    <w:rsid w:val="00272660"/>
    <w:rsid w:val="00272841"/>
    <w:rsid w:val="002728E0"/>
    <w:rsid w:val="0027328A"/>
    <w:rsid w:val="00273691"/>
    <w:rsid w:val="002738F6"/>
    <w:rsid w:val="00273A4E"/>
    <w:rsid w:val="00273D1A"/>
    <w:rsid w:val="00273D74"/>
    <w:rsid w:val="00274232"/>
    <w:rsid w:val="002744DE"/>
    <w:rsid w:val="00274789"/>
    <w:rsid w:val="00275308"/>
    <w:rsid w:val="0027595F"/>
    <w:rsid w:val="002767F0"/>
    <w:rsid w:val="002768F5"/>
    <w:rsid w:val="0027694F"/>
    <w:rsid w:val="00276E38"/>
    <w:rsid w:val="0027745C"/>
    <w:rsid w:val="0027783A"/>
    <w:rsid w:val="00277A47"/>
    <w:rsid w:val="00277E53"/>
    <w:rsid w:val="00280338"/>
    <w:rsid w:val="002805AD"/>
    <w:rsid w:val="00280BE9"/>
    <w:rsid w:val="002815BE"/>
    <w:rsid w:val="002817B1"/>
    <w:rsid w:val="00281807"/>
    <w:rsid w:val="00281A85"/>
    <w:rsid w:val="00281F0E"/>
    <w:rsid w:val="002822FD"/>
    <w:rsid w:val="00282624"/>
    <w:rsid w:val="00282859"/>
    <w:rsid w:val="00283131"/>
    <w:rsid w:val="002836D3"/>
    <w:rsid w:val="00283A7F"/>
    <w:rsid w:val="00283C92"/>
    <w:rsid w:val="0028428F"/>
    <w:rsid w:val="002844D2"/>
    <w:rsid w:val="002848A9"/>
    <w:rsid w:val="00284A5B"/>
    <w:rsid w:val="00284B4D"/>
    <w:rsid w:val="0028553A"/>
    <w:rsid w:val="0028595B"/>
    <w:rsid w:val="00285FB4"/>
    <w:rsid w:val="002863DA"/>
    <w:rsid w:val="0028675D"/>
    <w:rsid w:val="002868F4"/>
    <w:rsid w:val="00286DA8"/>
    <w:rsid w:val="00286F88"/>
    <w:rsid w:val="00286FDE"/>
    <w:rsid w:val="002879EE"/>
    <w:rsid w:val="00287EEC"/>
    <w:rsid w:val="00287F9B"/>
    <w:rsid w:val="00290096"/>
    <w:rsid w:val="0029026C"/>
    <w:rsid w:val="00290285"/>
    <w:rsid w:val="002912B0"/>
    <w:rsid w:val="0029149E"/>
    <w:rsid w:val="00291875"/>
    <w:rsid w:val="00291B42"/>
    <w:rsid w:val="00291E56"/>
    <w:rsid w:val="00292533"/>
    <w:rsid w:val="002929A1"/>
    <w:rsid w:val="002932DC"/>
    <w:rsid w:val="0029373D"/>
    <w:rsid w:val="002938A2"/>
    <w:rsid w:val="00294817"/>
    <w:rsid w:val="00294936"/>
    <w:rsid w:val="00294C0F"/>
    <w:rsid w:val="00294DC2"/>
    <w:rsid w:val="00294EE6"/>
    <w:rsid w:val="0029500C"/>
    <w:rsid w:val="00295782"/>
    <w:rsid w:val="00295ED7"/>
    <w:rsid w:val="0029617E"/>
    <w:rsid w:val="00296439"/>
    <w:rsid w:val="00296642"/>
    <w:rsid w:val="00296C69"/>
    <w:rsid w:val="00296D73"/>
    <w:rsid w:val="00296E4A"/>
    <w:rsid w:val="0029704A"/>
    <w:rsid w:val="002A0A89"/>
    <w:rsid w:val="002A1114"/>
    <w:rsid w:val="002A16A8"/>
    <w:rsid w:val="002A1F0D"/>
    <w:rsid w:val="002A24A1"/>
    <w:rsid w:val="002A27F0"/>
    <w:rsid w:val="002A2877"/>
    <w:rsid w:val="002A2996"/>
    <w:rsid w:val="002A2B6B"/>
    <w:rsid w:val="002A30E5"/>
    <w:rsid w:val="002A33B0"/>
    <w:rsid w:val="002A3BF8"/>
    <w:rsid w:val="002A4523"/>
    <w:rsid w:val="002A4537"/>
    <w:rsid w:val="002A4805"/>
    <w:rsid w:val="002A4B7B"/>
    <w:rsid w:val="002A4BB1"/>
    <w:rsid w:val="002A4F0D"/>
    <w:rsid w:val="002A50F2"/>
    <w:rsid w:val="002A5237"/>
    <w:rsid w:val="002A5401"/>
    <w:rsid w:val="002A5AAC"/>
    <w:rsid w:val="002A5C3D"/>
    <w:rsid w:val="002A5CF2"/>
    <w:rsid w:val="002A607A"/>
    <w:rsid w:val="002A61AC"/>
    <w:rsid w:val="002A64AC"/>
    <w:rsid w:val="002A6DFC"/>
    <w:rsid w:val="002A6E40"/>
    <w:rsid w:val="002A71B6"/>
    <w:rsid w:val="002A7828"/>
    <w:rsid w:val="002A7B26"/>
    <w:rsid w:val="002A7CAB"/>
    <w:rsid w:val="002B0AF7"/>
    <w:rsid w:val="002B1280"/>
    <w:rsid w:val="002B1B2E"/>
    <w:rsid w:val="002B23FD"/>
    <w:rsid w:val="002B24FD"/>
    <w:rsid w:val="002B2C21"/>
    <w:rsid w:val="002B2D57"/>
    <w:rsid w:val="002B2DA8"/>
    <w:rsid w:val="002B3305"/>
    <w:rsid w:val="002B3568"/>
    <w:rsid w:val="002B377F"/>
    <w:rsid w:val="002B3DC7"/>
    <w:rsid w:val="002B3F85"/>
    <w:rsid w:val="002B453E"/>
    <w:rsid w:val="002B46F9"/>
    <w:rsid w:val="002B479B"/>
    <w:rsid w:val="002B4FA8"/>
    <w:rsid w:val="002B50B5"/>
    <w:rsid w:val="002B553B"/>
    <w:rsid w:val="002B5610"/>
    <w:rsid w:val="002B5EA6"/>
    <w:rsid w:val="002B6612"/>
    <w:rsid w:val="002B6782"/>
    <w:rsid w:val="002B694A"/>
    <w:rsid w:val="002B6990"/>
    <w:rsid w:val="002B6DE8"/>
    <w:rsid w:val="002B6F00"/>
    <w:rsid w:val="002B6FCF"/>
    <w:rsid w:val="002B774D"/>
    <w:rsid w:val="002B78E0"/>
    <w:rsid w:val="002B7AEC"/>
    <w:rsid w:val="002B7B90"/>
    <w:rsid w:val="002B7F3D"/>
    <w:rsid w:val="002C03E1"/>
    <w:rsid w:val="002C0AAE"/>
    <w:rsid w:val="002C0C0D"/>
    <w:rsid w:val="002C0DFD"/>
    <w:rsid w:val="002C0FCE"/>
    <w:rsid w:val="002C15F4"/>
    <w:rsid w:val="002C1809"/>
    <w:rsid w:val="002C1A3B"/>
    <w:rsid w:val="002C2366"/>
    <w:rsid w:val="002C28CF"/>
    <w:rsid w:val="002C28F0"/>
    <w:rsid w:val="002C2DA3"/>
    <w:rsid w:val="002C2E20"/>
    <w:rsid w:val="002C319F"/>
    <w:rsid w:val="002C33AD"/>
    <w:rsid w:val="002C421F"/>
    <w:rsid w:val="002C4BDF"/>
    <w:rsid w:val="002C5289"/>
    <w:rsid w:val="002C5456"/>
    <w:rsid w:val="002C5473"/>
    <w:rsid w:val="002C5545"/>
    <w:rsid w:val="002C5838"/>
    <w:rsid w:val="002C59C5"/>
    <w:rsid w:val="002C716E"/>
    <w:rsid w:val="002C72DE"/>
    <w:rsid w:val="002C7611"/>
    <w:rsid w:val="002C7724"/>
    <w:rsid w:val="002C7C1F"/>
    <w:rsid w:val="002C7DC5"/>
    <w:rsid w:val="002C7EAC"/>
    <w:rsid w:val="002D003A"/>
    <w:rsid w:val="002D0803"/>
    <w:rsid w:val="002D0E63"/>
    <w:rsid w:val="002D108B"/>
    <w:rsid w:val="002D126A"/>
    <w:rsid w:val="002D14FB"/>
    <w:rsid w:val="002D163C"/>
    <w:rsid w:val="002D1910"/>
    <w:rsid w:val="002D1CB3"/>
    <w:rsid w:val="002D23E6"/>
    <w:rsid w:val="002D2574"/>
    <w:rsid w:val="002D258F"/>
    <w:rsid w:val="002D264A"/>
    <w:rsid w:val="002D2944"/>
    <w:rsid w:val="002D350C"/>
    <w:rsid w:val="002D38B8"/>
    <w:rsid w:val="002D3CDE"/>
    <w:rsid w:val="002D3ED7"/>
    <w:rsid w:val="002D413C"/>
    <w:rsid w:val="002D4238"/>
    <w:rsid w:val="002D445E"/>
    <w:rsid w:val="002D45CB"/>
    <w:rsid w:val="002D47A3"/>
    <w:rsid w:val="002D4DB7"/>
    <w:rsid w:val="002D4E69"/>
    <w:rsid w:val="002D513F"/>
    <w:rsid w:val="002D5840"/>
    <w:rsid w:val="002D66A0"/>
    <w:rsid w:val="002D6887"/>
    <w:rsid w:val="002D6E7F"/>
    <w:rsid w:val="002D7514"/>
    <w:rsid w:val="002D7614"/>
    <w:rsid w:val="002D7ED1"/>
    <w:rsid w:val="002E053C"/>
    <w:rsid w:val="002E0964"/>
    <w:rsid w:val="002E0C6E"/>
    <w:rsid w:val="002E154E"/>
    <w:rsid w:val="002E19B3"/>
    <w:rsid w:val="002E25E1"/>
    <w:rsid w:val="002E27D8"/>
    <w:rsid w:val="002E2C0B"/>
    <w:rsid w:val="002E2DA0"/>
    <w:rsid w:val="002E3213"/>
    <w:rsid w:val="002E40E0"/>
    <w:rsid w:val="002E4564"/>
    <w:rsid w:val="002E48AF"/>
    <w:rsid w:val="002E493C"/>
    <w:rsid w:val="002E49B8"/>
    <w:rsid w:val="002E4DAA"/>
    <w:rsid w:val="002E4EAD"/>
    <w:rsid w:val="002E53C7"/>
    <w:rsid w:val="002E548F"/>
    <w:rsid w:val="002E5565"/>
    <w:rsid w:val="002E5888"/>
    <w:rsid w:val="002E5AB8"/>
    <w:rsid w:val="002E5D39"/>
    <w:rsid w:val="002E5E31"/>
    <w:rsid w:val="002E5ECC"/>
    <w:rsid w:val="002E6041"/>
    <w:rsid w:val="002E66E0"/>
    <w:rsid w:val="002E6B12"/>
    <w:rsid w:val="002E6FFB"/>
    <w:rsid w:val="002E7160"/>
    <w:rsid w:val="002E71D1"/>
    <w:rsid w:val="002E7FF1"/>
    <w:rsid w:val="002F02B8"/>
    <w:rsid w:val="002F0331"/>
    <w:rsid w:val="002F0F3E"/>
    <w:rsid w:val="002F164A"/>
    <w:rsid w:val="002F1CA8"/>
    <w:rsid w:val="002F20E8"/>
    <w:rsid w:val="002F2571"/>
    <w:rsid w:val="002F25E9"/>
    <w:rsid w:val="002F2775"/>
    <w:rsid w:val="002F2A2D"/>
    <w:rsid w:val="002F2CDD"/>
    <w:rsid w:val="002F2DF6"/>
    <w:rsid w:val="002F34EA"/>
    <w:rsid w:val="002F45C0"/>
    <w:rsid w:val="002F45EF"/>
    <w:rsid w:val="002F470A"/>
    <w:rsid w:val="002F4C5A"/>
    <w:rsid w:val="002F4C71"/>
    <w:rsid w:val="002F4CA9"/>
    <w:rsid w:val="002F5305"/>
    <w:rsid w:val="002F5BD9"/>
    <w:rsid w:val="002F5E72"/>
    <w:rsid w:val="002F6178"/>
    <w:rsid w:val="002F623B"/>
    <w:rsid w:val="002F6B44"/>
    <w:rsid w:val="002F6C0D"/>
    <w:rsid w:val="002F6EF8"/>
    <w:rsid w:val="002F779D"/>
    <w:rsid w:val="002F7A34"/>
    <w:rsid w:val="002F7CC0"/>
    <w:rsid w:val="003002C6"/>
    <w:rsid w:val="003004B1"/>
    <w:rsid w:val="003004E0"/>
    <w:rsid w:val="00300939"/>
    <w:rsid w:val="00300BFF"/>
    <w:rsid w:val="00301537"/>
    <w:rsid w:val="00301A4A"/>
    <w:rsid w:val="00301ED9"/>
    <w:rsid w:val="00301F10"/>
    <w:rsid w:val="00302118"/>
    <w:rsid w:val="003025F6"/>
    <w:rsid w:val="00302632"/>
    <w:rsid w:val="0030290E"/>
    <w:rsid w:val="00303312"/>
    <w:rsid w:val="0030367F"/>
    <w:rsid w:val="003038BB"/>
    <w:rsid w:val="003039F2"/>
    <w:rsid w:val="00303AE7"/>
    <w:rsid w:val="0030436F"/>
    <w:rsid w:val="00304656"/>
    <w:rsid w:val="00304891"/>
    <w:rsid w:val="003049C5"/>
    <w:rsid w:val="00304C09"/>
    <w:rsid w:val="00305101"/>
    <w:rsid w:val="0030558D"/>
    <w:rsid w:val="00305656"/>
    <w:rsid w:val="00305C6E"/>
    <w:rsid w:val="003060D7"/>
    <w:rsid w:val="0030611E"/>
    <w:rsid w:val="00306128"/>
    <w:rsid w:val="003062F4"/>
    <w:rsid w:val="00306539"/>
    <w:rsid w:val="00306A23"/>
    <w:rsid w:val="00306AB7"/>
    <w:rsid w:val="00306D5F"/>
    <w:rsid w:val="00306E2A"/>
    <w:rsid w:val="003077DD"/>
    <w:rsid w:val="00307DD5"/>
    <w:rsid w:val="00310254"/>
    <w:rsid w:val="003104C4"/>
    <w:rsid w:val="003104CA"/>
    <w:rsid w:val="0031143C"/>
    <w:rsid w:val="00311491"/>
    <w:rsid w:val="00311532"/>
    <w:rsid w:val="00311CC9"/>
    <w:rsid w:val="00311CF1"/>
    <w:rsid w:val="00311D9A"/>
    <w:rsid w:val="00311E25"/>
    <w:rsid w:val="003122C8"/>
    <w:rsid w:val="00312B45"/>
    <w:rsid w:val="00312BC9"/>
    <w:rsid w:val="00312F49"/>
    <w:rsid w:val="00313866"/>
    <w:rsid w:val="0031399A"/>
    <w:rsid w:val="00313CF5"/>
    <w:rsid w:val="003144CD"/>
    <w:rsid w:val="003146F9"/>
    <w:rsid w:val="00314E0A"/>
    <w:rsid w:val="00314EC1"/>
    <w:rsid w:val="00314FD7"/>
    <w:rsid w:val="0031521E"/>
    <w:rsid w:val="003152F3"/>
    <w:rsid w:val="003155BA"/>
    <w:rsid w:val="0031578D"/>
    <w:rsid w:val="00315AF1"/>
    <w:rsid w:val="003170A6"/>
    <w:rsid w:val="00317187"/>
    <w:rsid w:val="00317261"/>
    <w:rsid w:val="0031728D"/>
    <w:rsid w:val="00317543"/>
    <w:rsid w:val="00317582"/>
    <w:rsid w:val="00317BE4"/>
    <w:rsid w:val="00320486"/>
    <w:rsid w:val="00320909"/>
    <w:rsid w:val="00320F13"/>
    <w:rsid w:val="00320FEB"/>
    <w:rsid w:val="003218DA"/>
    <w:rsid w:val="0032212A"/>
    <w:rsid w:val="003227E4"/>
    <w:rsid w:val="00322FAE"/>
    <w:rsid w:val="00322FB7"/>
    <w:rsid w:val="00323104"/>
    <w:rsid w:val="00323486"/>
    <w:rsid w:val="00323B60"/>
    <w:rsid w:val="00323E56"/>
    <w:rsid w:val="00324136"/>
    <w:rsid w:val="0032459F"/>
    <w:rsid w:val="0032477A"/>
    <w:rsid w:val="0032487F"/>
    <w:rsid w:val="00324A9E"/>
    <w:rsid w:val="0032558E"/>
    <w:rsid w:val="00325CA8"/>
    <w:rsid w:val="0032625C"/>
    <w:rsid w:val="0032641A"/>
    <w:rsid w:val="0032646F"/>
    <w:rsid w:val="0032669C"/>
    <w:rsid w:val="00326A0A"/>
    <w:rsid w:val="00326A9C"/>
    <w:rsid w:val="00326E1D"/>
    <w:rsid w:val="00327322"/>
    <w:rsid w:val="00327DC8"/>
    <w:rsid w:val="00330709"/>
    <w:rsid w:val="00330F4B"/>
    <w:rsid w:val="0033151F"/>
    <w:rsid w:val="003315D5"/>
    <w:rsid w:val="00331645"/>
    <w:rsid w:val="00331661"/>
    <w:rsid w:val="003316C2"/>
    <w:rsid w:val="0033183C"/>
    <w:rsid w:val="00331C32"/>
    <w:rsid w:val="00331DF3"/>
    <w:rsid w:val="00332650"/>
    <w:rsid w:val="00332931"/>
    <w:rsid w:val="00332BBA"/>
    <w:rsid w:val="00332E6D"/>
    <w:rsid w:val="00332F78"/>
    <w:rsid w:val="0033300C"/>
    <w:rsid w:val="0033326B"/>
    <w:rsid w:val="00333637"/>
    <w:rsid w:val="00333F13"/>
    <w:rsid w:val="00333F1D"/>
    <w:rsid w:val="00334496"/>
    <w:rsid w:val="0033480E"/>
    <w:rsid w:val="00334EA6"/>
    <w:rsid w:val="00335528"/>
    <w:rsid w:val="0033584D"/>
    <w:rsid w:val="00335C68"/>
    <w:rsid w:val="0033609C"/>
    <w:rsid w:val="0033636D"/>
    <w:rsid w:val="003366FA"/>
    <w:rsid w:val="0033729F"/>
    <w:rsid w:val="003375D4"/>
    <w:rsid w:val="003403AB"/>
    <w:rsid w:val="003408C2"/>
    <w:rsid w:val="00340ABC"/>
    <w:rsid w:val="00341402"/>
    <w:rsid w:val="003418BE"/>
    <w:rsid w:val="00341CA4"/>
    <w:rsid w:val="00341DF3"/>
    <w:rsid w:val="00341E9C"/>
    <w:rsid w:val="003422F4"/>
    <w:rsid w:val="00342350"/>
    <w:rsid w:val="00342B69"/>
    <w:rsid w:val="00343051"/>
    <w:rsid w:val="003431E9"/>
    <w:rsid w:val="0034376E"/>
    <w:rsid w:val="0034391A"/>
    <w:rsid w:val="00343A9F"/>
    <w:rsid w:val="00343C41"/>
    <w:rsid w:val="00344107"/>
    <w:rsid w:val="003446C2"/>
    <w:rsid w:val="003448FE"/>
    <w:rsid w:val="00344E56"/>
    <w:rsid w:val="00345199"/>
    <w:rsid w:val="00345ADF"/>
    <w:rsid w:val="00346590"/>
    <w:rsid w:val="00346AFA"/>
    <w:rsid w:val="00346D15"/>
    <w:rsid w:val="00347810"/>
    <w:rsid w:val="00347E4D"/>
    <w:rsid w:val="00350214"/>
    <w:rsid w:val="0035070B"/>
    <w:rsid w:val="003509EC"/>
    <w:rsid w:val="00351A3B"/>
    <w:rsid w:val="0035214C"/>
    <w:rsid w:val="00352A1E"/>
    <w:rsid w:val="00352A7A"/>
    <w:rsid w:val="00352BEA"/>
    <w:rsid w:val="0035336F"/>
    <w:rsid w:val="00353708"/>
    <w:rsid w:val="00354038"/>
    <w:rsid w:val="003540E2"/>
    <w:rsid w:val="003541DE"/>
    <w:rsid w:val="00354422"/>
    <w:rsid w:val="0035480F"/>
    <w:rsid w:val="00354D6C"/>
    <w:rsid w:val="00354E7D"/>
    <w:rsid w:val="00355106"/>
    <w:rsid w:val="00355155"/>
    <w:rsid w:val="00355F1B"/>
    <w:rsid w:val="00356038"/>
    <w:rsid w:val="003564DC"/>
    <w:rsid w:val="00356787"/>
    <w:rsid w:val="00356876"/>
    <w:rsid w:val="00356EBE"/>
    <w:rsid w:val="0035717C"/>
    <w:rsid w:val="00357445"/>
    <w:rsid w:val="00357539"/>
    <w:rsid w:val="003577D0"/>
    <w:rsid w:val="0035785D"/>
    <w:rsid w:val="00357C72"/>
    <w:rsid w:val="00357CF2"/>
    <w:rsid w:val="00357DFA"/>
    <w:rsid w:val="00357EDB"/>
    <w:rsid w:val="0036034E"/>
    <w:rsid w:val="00360759"/>
    <w:rsid w:val="00360B4A"/>
    <w:rsid w:val="00360E93"/>
    <w:rsid w:val="00361227"/>
    <w:rsid w:val="00361375"/>
    <w:rsid w:val="00361942"/>
    <w:rsid w:val="00361CD8"/>
    <w:rsid w:val="00362035"/>
    <w:rsid w:val="00362289"/>
    <w:rsid w:val="00362440"/>
    <w:rsid w:val="003625B8"/>
    <w:rsid w:val="00362B6D"/>
    <w:rsid w:val="00362D3B"/>
    <w:rsid w:val="00363580"/>
    <w:rsid w:val="00363BDD"/>
    <w:rsid w:val="0036408E"/>
    <w:rsid w:val="00364301"/>
    <w:rsid w:val="00364344"/>
    <w:rsid w:val="00364A5B"/>
    <w:rsid w:val="00364CEA"/>
    <w:rsid w:val="003659E8"/>
    <w:rsid w:val="00365CAB"/>
    <w:rsid w:val="00365CD4"/>
    <w:rsid w:val="00365D95"/>
    <w:rsid w:val="00366224"/>
    <w:rsid w:val="00366648"/>
    <w:rsid w:val="00366975"/>
    <w:rsid w:val="003670A3"/>
    <w:rsid w:val="003672DA"/>
    <w:rsid w:val="00367796"/>
    <w:rsid w:val="003678BA"/>
    <w:rsid w:val="00367A5E"/>
    <w:rsid w:val="00367FFA"/>
    <w:rsid w:val="003710E9"/>
    <w:rsid w:val="003711E9"/>
    <w:rsid w:val="00372509"/>
    <w:rsid w:val="003726CC"/>
    <w:rsid w:val="00372A07"/>
    <w:rsid w:val="00373186"/>
    <w:rsid w:val="00373389"/>
    <w:rsid w:val="00373440"/>
    <w:rsid w:val="00373E5E"/>
    <w:rsid w:val="00373EE2"/>
    <w:rsid w:val="003741D0"/>
    <w:rsid w:val="003744C2"/>
    <w:rsid w:val="00374642"/>
    <w:rsid w:val="00375099"/>
    <w:rsid w:val="00375185"/>
    <w:rsid w:val="00375AFB"/>
    <w:rsid w:val="00375D83"/>
    <w:rsid w:val="00375E14"/>
    <w:rsid w:val="00375FE8"/>
    <w:rsid w:val="00376CF5"/>
    <w:rsid w:val="00376DDF"/>
    <w:rsid w:val="00376E9E"/>
    <w:rsid w:val="00377420"/>
    <w:rsid w:val="003802DC"/>
    <w:rsid w:val="003804F8"/>
    <w:rsid w:val="0038064D"/>
    <w:rsid w:val="0038112F"/>
    <w:rsid w:val="00381249"/>
    <w:rsid w:val="0038184A"/>
    <w:rsid w:val="00381DD3"/>
    <w:rsid w:val="00381DE3"/>
    <w:rsid w:val="00381E0F"/>
    <w:rsid w:val="00382044"/>
    <w:rsid w:val="00382613"/>
    <w:rsid w:val="003827C3"/>
    <w:rsid w:val="00382A7C"/>
    <w:rsid w:val="00382D24"/>
    <w:rsid w:val="0038315C"/>
    <w:rsid w:val="003835FB"/>
    <w:rsid w:val="00383774"/>
    <w:rsid w:val="00383E11"/>
    <w:rsid w:val="00384796"/>
    <w:rsid w:val="00385026"/>
    <w:rsid w:val="00385184"/>
    <w:rsid w:val="0038532F"/>
    <w:rsid w:val="00385861"/>
    <w:rsid w:val="003858D3"/>
    <w:rsid w:val="0038591B"/>
    <w:rsid w:val="00385955"/>
    <w:rsid w:val="00385A11"/>
    <w:rsid w:val="00385A26"/>
    <w:rsid w:val="00385B34"/>
    <w:rsid w:val="00385BAA"/>
    <w:rsid w:val="00386977"/>
    <w:rsid w:val="0038720F"/>
    <w:rsid w:val="0038737C"/>
    <w:rsid w:val="00387C58"/>
    <w:rsid w:val="00387E11"/>
    <w:rsid w:val="003900BE"/>
    <w:rsid w:val="00390425"/>
    <w:rsid w:val="003909CD"/>
    <w:rsid w:val="00390AF8"/>
    <w:rsid w:val="00391B2F"/>
    <w:rsid w:val="00391D30"/>
    <w:rsid w:val="00391D5B"/>
    <w:rsid w:val="003922A8"/>
    <w:rsid w:val="00392BEC"/>
    <w:rsid w:val="00392DBD"/>
    <w:rsid w:val="00392DE0"/>
    <w:rsid w:val="00393E39"/>
    <w:rsid w:val="0039411D"/>
    <w:rsid w:val="00394336"/>
    <w:rsid w:val="00394357"/>
    <w:rsid w:val="0039574A"/>
    <w:rsid w:val="003957D7"/>
    <w:rsid w:val="00395BFE"/>
    <w:rsid w:val="00395D2A"/>
    <w:rsid w:val="0039654D"/>
    <w:rsid w:val="0039676F"/>
    <w:rsid w:val="003968E5"/>
    <w:rsid w:val="00396936"/>
    <w:rsid w:val="0039751E"/>
    <w:rsid w:val="00397649"/>
    <w:rsid w:val="003976AC"/>
    <w:rsid w:val="00397AA1"/>
    <w:rsid w:val="00397C23"/>
    <w:rsid w:val="00397D69"/>
    <w:rsid w:val="003A0090"/>
    <w:rsid w:val="003A013F"/>
    <w:rsid w:val="003A119E"/>
    <w:rsid w:val="003A153D"/>
    <w:rsid w:val="003A1913"/>
    <w:rsid w:val="003A2458"/>
    <w:rsid w:val="003A25E6"/>
    <w:rsid w:val="003A2770"/>
    <w:rsid w:val="003A2897"/>
    <w:rsid w:val="003A292C"/>
    <w:rsid w:val="003A2E0E"/>
    <w:rsid w:val="003A3856"/>
    <w:rsid w:val="003A3AFE"/>
    <w:rsid w:val="003A3C0E"/>
    <w:rsid w:val="003A47A4"/>
    <w:rsid w:val="003A4E65"/>
    <w:rsid w:val="003A50D6"/>
    <w:rsid w:val="003A53FF"/>
    <w:rsid w:val="003A5A34"/>
    <w:rsid w:val="003A72F2"/>
    <w:rsid w:val="003A74CD"/>
    <w:rsid w:val="003A75DB"/>
    <w:rsid w:val="003A7AD4"/>
    <w:rsid w:val="003A7BCB"/>
    <w:rsid w:val="003A7BEB"/>
    <w:rsid w:val="003A7CD1"/>
    <w:rsid w:val="003A7E03"/>
    <w:rsid w:val="003A7E69"/>
    <w:rsid w:val="003B022D"/>
    <w:rsid w:val="003B025B"/>
    <w:rsid w:val="003B07C8"/>
    <w:rsid w:val="003B07FA"/>
    <w:rsid w:val="003B0F2D"/>
    <w:rsid w:val="003B1802"/>
    <w:rsid w:val="003B1850"/>
    <w:rsid w:val="003B2991"/>
    <w:rsid w:val="003B2D23"/>
    <w:rsid w:val="003B2D72"/>
    <w:rsid w:val="003B3658"/>
    <w:rsid w:val="003B3BB0"/>
    <w:rsid w:val="003B3D3D"/>
    <w:rsid w:val="003B46A3"/>
    <w:rsid w:val="003B488B"/>
    <w:rsid w:val="003B5208"/>
    <w:rsid w:val="003B5767"/>
    <w:rsid w:val="003B5ECA"/>
    <w:rsid w:val="003B6278"/>
    <w:rsid w:val="003B6926"/>
    <w:rsid w:val="003B730B"/>
    <w:rsid w:val="003B75D1"/>
    <w:rsid w:val="003B7AEB"/>
    <w:rsid w:val="003B7C92"/>
    <w:rsid w:val="003C02B1"/>
    <w:rsid w:val="003C0C95"/>
    <w:rsid w:val="003C134B"/>
    <w:rsid w:val="003C171F"/>
    <w:rsid w:val="003C1B64"/>
    <w:rsid w:val="003C1CD3"/>
    <w:rsid w:val="003C1D30"/>
    <w:rsid w:val="003C1DA6"/>
    <w:rsid w:val="003C27FF"/>
    <w:rsid w:val="003C2A2C"/>
    <w:rsid w:val="003C33E6"/>
    <w:rsid w:val="003C3E2A"/>
    <w:rsid w:val="003C3F67"/>
    <w:rsid w:val="003C4977"/>
    <w:rsid w:val="003C534F"/>
    <w:rsid w:val="003C540C"/>
    <w:rsid w:val="003C5621"/>
    <w:rsid w:val="003C61AA"/>
    <w:rsid w:val="003C62BA"/>
    <w:rsid w:val="003C6469"/>
    <w:rsid w:val="003C734B"/>
    <w:rsid w:val="003C74DB"/>
    <w:rsid w:val="003C74F7"/>
    <w:rsid w:val="003C757A"/>
    <w:rsid w:val="003C767F"/>
    <w:rsid w:val="003C7A2C"/>
    <w:rsid w:val="003C7C19"/>
    <w:rsid w:val="003D05A0"/>
    <w:rsid w:val="003D0EED"/>
    <w:rsid w:val="003D10F8"/>
    <w:rsid w:val="003D145E"/>
    <w:rsid w:val="003D1D97"/>
    <w:rsid w:val="003D1E04"/>
    <w:rsid w:val="003D216D"/>
    <w:rsid w:val="003D2632"/>
    <w:rsid w:val="003D2871"/>
    <w:rsid w:val="003D30C8"/>
    <w:rsid w:val="003D4026"/>
    <w:rsid w:val="003D412F"/>
    <w:rsid w:val="003D45F3"/>
    <w:rsid w:val="003D46BB"/>
    <w:rsid w:val="003D4A5E"/>
    <w:rsid w:val="003D4C91"/>
    <w:rsid w:val="003D575D"/>
    <w:rsid w:val="003D5A63"/>
    <w:rsid w:val="003D5A6C"/>
    <w:rsid w:val="003D692D"/>
    <w:rsid w:val="003D6B75"/>
    <w:rsid w:val="003D70DF"/>
    <w:rsid w:val="003E03AB"/>
    <w:rsid w:val="003E04EC"/>
    <w:rsid w:val="003E0A0C"/>
    <w:rsid w:val="003E1784"/>
    <w:rsid w:val="003E1C08"/>
    <w:rsid w:val="003E1DFB"/>
    <w:rsid w:val="003E1F63"/>
    <w:rsid w:val="003E21E1"/>
    <w:rsid w:val="003E2366"/>
    <w:rsid w:val="003E2BDB"/>
    <w:rsid w:val="003E2E69"/>
    <w:rsid w:val="003E380C"/>
    <w:rsid w:val="003E4024"/>
    <w:rsid w:val="003E43C3"/>
    <w:rsid w:val="003E49FB"/>
    <w:rsid w:val="003E4A39"/>
    <w:rsid w:val="003E4ADA"/>
    <w:rsid w:val="003E4F2B"/>
    <w:rsid w:val="003E58A9"/>
    <w:rsid w:val="003E5C9B"/>
    <w:rsid w:val="003E69A1"/>
    <w:rsid w:val="003E6E20"/>
    <w:rsid w:val="003E6F03"/>
    <w:rsid w:val="003E7115"/>
    <w:rsid w:val="003E7789"/>
    <w:rsid w:val="003E78AF"/>
    <w:rsid w:val="003E78D3"/>
    <w:rsid w:val="003E79D9"/>
    <w:rsid w:val="003F032C"/>
    <w:rsid w:val="003F069C"/>
    <w:rsid w:val="003F0E4A"/>
    <w:rsid w:val="003F0FC9"/>
    <w:rsid w:val="003F1071"/>
    <w:rsid w:val="003F2370"/>
    <w:rsid w:val="003F259A"/>
    <w:rsid w:val="003F2A9E"/>
    <w:rsid w:val="003F3765"/>
    <w:rsid w:val="003F3791"/>
    <w:rsid w:val="003F46EB"/>
    <w:rsid w:val="003F4D94"/>
    <w:rsid w:val="003F53AE"/>
    <w:rsid w:val="003F5ADA"/>
    <w:rsid w:val="003F5BDD"/>
    <w:rsid w:val="003F5F0B"/>
    <w:rsid w:val="003F5F29"/>
    <w:rsid w:val="003F6BE2"/>
    <w:rsid w:val="003F703B"/>
    <w:rsid w:val="003F70DE"/>
    <w:rsid w:val="003F7CFE"/>
    <w:rsid w:val="003F7F0A"/>
    <w:rsid w:val="00400182"/>
    <w:rsid w:val="004001C3"/>
    <w:rsid w:val="004002FA"/>
    <w:rsid w:val="004003B9"/>
    <w:rsid w:val="00400466"/>
    <w:rsid w:val="00400813"/>
    <w:rsid w:val="00400DFB"/>
    <w:rsid w:val="004013A8"/>
    <w:rsid w:val="004016D4"/>
    <w:rsid w:val="00401EBE"/>
    <w:rsid w:val="00401F3B"/>
    <w:rsid w:val="004021C2"/>
    <w:rsid w:val="004028C2"/>
    <w:rsid w:val="004028F9"/>
    <w:rsid w:val="00402DDD"/>
    <w:rsid w:val="00403390"/>
    <w:rsid w:val="004034C2"/>
    <w:rsid w:val="00404338"/>
    <w:rsid w:val="00404461"/>
    <w:rsid w:val="00404C26"/>
    <w:rsid w:val="0040515E"/>
    <w:rsid w:val="00405554"/>
    <w:rsid w:val="00405925"/>
    <w:rsid w:val="00405A38"/>
    <w:rsid w:val="0040638F"/>
    <w:rsid w:val="00406E4F"/>
    <w:rsid w:val="0040799F"/>
    <w:rsid w:val="00407C0F"/>
    <w:rsid w:val="00407DAC"/>
    <w:rsid w:val="004101CE"/>
    <w:rsid w:val="004101D1"/>
    <w:rsid w:val="004102D7"/>
    <w:rsid w:val="00410562"/>
    <w:rsid w:val="004107F4"/>
    <w:rsid w:val="00410911"/>
    <w:rsid w:val="00410F50"/>
    <w:rsid w:val="00411644"/>
    <w:rsid w:val="00411F45"/>
    <w:rsid w:val="00412656"/>
    <w:rsid w:val="00412CBD"/>
    <w:rsid w:val="004136AC"/>
    <w:rsid w:val="00413AD8"/>
    <w:rsid w:val="00413D48"/>
    <w:rsid w:val="0041404A"/>
    <w:rsid w:val="00414348"/>
    <w:rsid w:val="00414705"/>
    <w:rsid w:val="00414ED3"/>
    <w:rsid w:val="004152B6"/>
    <w:rsid w:val="00415558"/>
    <w:rsid w:val="0041588F"/>
    <w:rsid w:val="00415F3D"/>
    <w:rsid w:val="004161D3"/>
    <w:rsid w:val="004164DE"/>
    <w:rsid w:val="00416F5B"/>
    <w:rsid w:val="004171A2"/>
    <w:rsid w:val="00417AAA"/>
    <w:rsid w:val="00420232"/>
    <w:rsid w:val="00420374"/>
    <w:rsid w:val="004207B3"/>
    <w:rsid w:val="0042082E"/>
    <w:rsid w:val="00420D76"/>
    <w:rsid w:val="0042174B"/>
    <w:rsid w:val="00422104"/>
    <w:rsid w:val="004221DB"/>
    <w:rsid w:val="00422582"/>
    <w:rsid w:val="004226BC"/>
    <w:rsid w:val="00422B0C"/>
    <w:rsid w:val="00422BF4"/>
    <w:rsid w:val="00422EBC"/>
    <w:rsid w:val="0042305C"/>
    <w:rsid w:val="0042331E"/>
    <w:rsid w:val="004235FA"/>
    <w:rsid w:val="00423A13"/>
    <w:rsid w:val="00423A2D"/>
    <w:rsid w:val="00423F54"/>
    <w:rsid w:val="0042442C"/>
    <w:rsid w:val="00424B9C"/>
    <w:rsid w:val="004250D6"/>
    <w:rsid w:val="00425E1D"/>
    <w:rsid w:val="004260C6"/>
    <w:rsid w:val="00426163"/>
    <w:rsid w:val="004264C3"/>
    <w:rsid w:val="00426BC7"/>
    <w:rsid w:val="00427600"/>
    <w:rsid w:val="00427E8E"/>
    <w:rsid w:val="00430971"/>
    <w:rsid w:val="004309F1"/>
    <w:rsid w:val="004314A4"/>
    <w:rsid w:val="004317CC"/>
    <w:rsid w:val="00433022"/>
    <w:rsid w:val="0043320F"/>
    <w:rsid w:val="004333E8"/>
    <w:rsid w:val="00434036"/>
    <w:rsid w:val="004345C8"/>
    <w:rsid w:val="004346F8"/>
    <w:rsid w:val="00434797"/>
    <w:rsid w:val="004347B7"/>
    <w:rsid w:val="00434AED"/>
    <w:rsid w:val="00434B83"/>
    <w:rsid w:val="00434C53"/>
    <w:rsid w:val="00435356"/>
    <w:rsid w:val="00435C9B"/>
    <w:rsid w:val="00435DA1"/>
    <w:rsid w:val="00435E70"/>
    <w:rsid w:val="00436558"/>
    <w:rsid w:val="0043773F"/>
    <w:rsid w:val="004377A9"/>
    <w:rsid w:val="00437E07"/>
    <w:rsid w:val="0044005A"/>
    <w:rsid w:val="0044015B"/>
    <w:rsid w:val="004403FB"/>
    <w:rsid w:val="004409D9"/>
    <w:rsid w:val="00441EE1"/>
    <w:rsid w:val="0044218C"/>
    <w:rsid w:val="004425CD"/>
    <w:rsid w:val="0044310D"/>
    <w:rsid w:val="004434B8"/>
    <w:rsid w:val="004434C6"/>
    <w:rsid w:val="004436CC"/>
    <w:rsid w:val="00443948"/>
    <w:rsid w:val="00443ABB"/>
    <w:rsid w:val="0044485D"/>
    <w:rsid w:val="00445A93"/>
    <w:rsid w:val="00445EE8"/>
    <w:rsid w:val="00446C53"/>
    <w:rsid w:val="00446F9D"/>
    <w:rsid w:val="00447018"/>
    <w:rsid w:val="004470AB"/>
    <w:rsid w:val="00447436"/>
    <w:rsid w:val="00447471"/>
    <w:rsid w:val="00447C67"/>
    <w:rsid w:val="00450137"/>
    <w:rsid w:val="004506E4"/>
    <w:rsid w:val="00450A57"/>
    <w:rsid w:val="00450B35"/>
    <w:rsid w:val="00450D3B"/>
    <w:rsid w:val="00450E42"/>
    <w:rsid w:val="00450F86"/>
    <w:rsid w:val="00451324"/>
    <w:rsid w:val="00451339"/>
    <w:rsid w:val="004519AD"/>
    <w:rsid w:val="00451D15"/>
    <w:rsid w:val="0045202B"/>
    <w:rsid w:val="00452555"/>
    <w:rsid w:val="00452ABF"/>
    <w:rsid w:val="0045307F"/>
    <w:rsid w:val="004532B5"/>
    <w:rsid w:val="0045344E"/>
    <w:rsid w:val="004535B6"/>
    <w:rsid w:val="00453A8D"/>
    <w:rsid w:val="00453E92"/>
    <w:rsid w:val="004542F9"/>
    <w:rsid w:val="004543B5"/>
    <w:rsid w:val="004545F2"/>
    <w:rsid w:val="0045467B"/>
    <w:rsid w:val="004546F3"/>
    <w:rsid w:val="00454CA4"/>
    <w:rsid w:val="00454E18"/>
    <w:rsid w:val="00454F61"/>
    <w:rsid w:val="004550B7"/>
    <w:rsid w:val="004557BD"/>
    <w:rsid w:val="004562A5"/>
    <w:rsid w:val="00456746"/>
    <w:rsid w:val="00456E1C"/>
    <w:rsid w:val="00456EA7"/>
    <w:rsid w:val="00457093"/>
    <w:rsid w:val="00457372"/>
    <w:rsid w:val="00457A26"/>
    <w:rsid w:val="00457F41"/>
    <w:rsid w:val="004600EC"/>
    <w:rsid w:val="0046035E"/>
    <w:rsid w:val="004608AB"/>
    <w:rsid w:val="004609AC"/>
    <w:rsid w:val="004614B5"/>
    <w:rsid w:val="0046174B"/>
    <w:rsid w:val="004619F3"/>
    <w:rsid w:val="00461E79"/>
    <w:rsid w:val="004623F2"/>
    <w:rsid w:val="004630B6"/>
    <w:rsid w:val="0046390B"/>
    <w:rsid w:val="00463C4B"/>
    <w:rsid w:val="00463ECB"/>
    <w:rsid w:val="004643D7"/>
    <w:rsid w:val="004645CF"/>
    <w:rsid w:val="004646C0"/>
    <w:rsid w:val="00464782"/>
    <w:rsid w:val="004649B5"/>
    <w:rsid w:val="00464A1F"/>
    <w:rsid w:val="00464E89"/>
    <w:rsid w:val="00464E8B"/>
    <w:rsid w:val="00465455"/>
    <w:rsid w:val="00465E4D"/>
    <w:rsid w:val="00466280"/>
    <w:rsid w:val="00466542"/>
    <w:rsid w:val="00466642"/>
    <w:rsid w:val="00466AB5"/>
    <w:rsid w:val="00466AC5"/>
    <w:rsid w:val="00466E1A"/>
    <w:rsid w:val="0046799D"/>
    <w:rsid w:val="00467AFE"/>
    <w:rsid w:val="00467F8D"/>
    <w:rsid w:val="004701F2"/>
    <w:rsid w:val="00470577"/>
    <w:rsid w:val="00470D2D"/>
    <w:rsid w:val="00470E7F"/>
    <w:rsid w:val="00471025"/>
    <w:rsid w:val="004710E0"/>
    <w:rsid w:val="0047117A"/>
    <w:rsid w:val="004711DD"/>
    <w:rsid w:val="00471476"/>
    <w:rsid w:val="00471529"/>
    <w:rsid w:val="00471946"/>
    <w:rsid w:val="00471B23"/>
    <w:rsid w:val="00471C83"/>
    <w:rsid w:val="00471E37"/>
    <w:rsid w:val="004721D5"/>
    <w:rsid w:val="00472677"/>
    <w:rsid w:val="00472A37"/>
    <w:rsid w:val="004730B5"/>
    <w:rsid w:val="0047336B"/>
    <w:rsid w:val="00473582"/>
    <w:rsid w:val="0047381F"/>
    <w:rsid w:val="00473BA5"/>
    <w:rsid w:val="004744CA"/>
    <w:rsid w:val="00474620"/>
    <w:rsid w:val="00474F2D"/>
    <w:rsid w:val="00475420"/>
    <w:rsid w:val="00475D67"/>
    <w:rsid w:val="00475E09"/>
    <w:rsid w:val="00475ECD"/>
    <w:rsid w:val="00476A4B"/>
    <w:rsid w:val="00476D36"/>
    <w:rsid w:val="00476D80"/>
    <w:rsid w:val="00476E94"/>
    <w:rsid w:val="00476F69"/>
    <w:rsid w:val="0047712E"/>
    <w:rsid w:val="0047752E"/>
    <w:rsid w:val="004776C6"/>
    <w:rsid w:val="004805A5"/>
    <w:rsid w:val="004805D1"/>
    <w:rsid w:val="004813ED"/>
    <w:rsid w:val="00481475"/>
    <w:rsid w:val="00481ADD"/>
    <w:rsid w:val="00481E4E"/>
    <w:rsid w:val="00481F62"/>
    <w:rsid w:val="00481FCA"/>
    <w:rsid w:val="00482238"/>
    <w:rsid w:val="004825E1"/>
    <w:rsid w:val="00482905"/>
    <w:rsid w:val="00482B8C"/>
    <w:rsid w:val="00482C77"/>
    <w:rsid w:val="00482CAC"/>
    <w:rsid w:val="0048344E"/>
    <w:rsid w:val="004836C1"/>
    <w:rsid w:val="00483D5A"/>
    <w:rsid w:val="00484153"/>
    <w:rsid w:val="00484170"/>
    <w:rsid w:val="00484513"/>
    <w:rsid w:val="004848E7"/>
    <w:rsid w:val="00484D48"/>
    <w:rsid w:val="00484FA4"/>
    <w:rsid w:val="0048590F"/>
    <w:rsid w:val="00485A59"/>
    <w:rsid w:val="00485CA3"/>
    <w:rsid w:val="00485E2D"/>
    <w:rsid w:val="00486020"/>
    <w:rsid w:val="0048614D"/>
    <w:rsid w:val="00486A40"/>
    <w:rsid w:val="00486D68"/>
    <w:rsid w:val="00487128"/>
    <w:rsid w:val="0048716C"/>
    <w:rsid w:val="0048734F"/>
    <w:rsid w:val="00487949"/>
    <w:rsid w:val="004879C4"/>
    <w:rsid w:val="00487AF2"/>
    <w:rsid w:val="00490538"/>
    <w:rsid w:val="00490C99"/>
    <w:rsid w:val="0049168B"/>
    <w:rsid w:val="00491DD1"/>
    <w:rsid w:val="004923FF"/>
    <w:rsid w:val="0049288F"/>
    <w:rsid w:val="004936A3"/>
    <w:rsid w:val="0049389B"/>
    <w:rsid w:val="00493912"/>
    <w:rsid w:val="004939D0"/>
    <w:rsid w:val="004942BF"/>
    <w:rsid w:val="0049431D"/>
    <w:rsid w:val="00494F80"/>
    <w:rsid w:val="0049503F"/>
    <w:rsid w:val="004952B0"/>
    <w:rsid w:val="0049537F"/>
    <w:rsid w:val="00495755"/>
    <w:rsid w:val="004962A5"/>
    <w:rsid w:val="004965FC"/>
    <w:rsid w:val="004966B4"/>
    <w:rsid w:val="004968F5"/>
    <w:rsid w:val="00496EFF"/>
    <w:rsid w:val="00497553"/>
    <w:rsid w:val="004A0820"/>
    <w:rsid w:val="004A0CCE"/>
    <w:rsid w:val="004A0DC7"/>
    <w:rsid w:val="004A16F9"/>
    <w:rsid w:val="004A1940"/>
    <w:rsid w:val="004A1F83"/>
    <w:rsid w:val="004A1FF2"/>
    <w:rsid w:val="004A2316"/>
    <w:rsid w:val="004A29AC"/>
    <w:rsid w:val="004A43E4"/>
    <w:rsid w:val="004A47DA"/>
    <w:rsid w:val="004A506B"/>
    <w:rsid w:val="004A5100"/>
    <w:rsid w:val="004A59E8"/>
    <w:rsid w:val="004A5BFB"/>
    <w:rsid w:val="004A5D06"/>
    <w:rsid w:val="004A61E9"/>
    <w:rsid w:val="004A6413"/>
    <w:rsid w:val="004A6611"/>
    <w:rsid w:val="004A6792"/>
    <w:rsid w:val="004A6979"/>
    <w:rsid w:val="004A76B9"/>
    <w:rsid w:val="004A7C27"/>
    <w:rsid w:val="004A7FA5"/>
    <w:rsid w:val="004B0D76"/>
    <w:rsid w:val="004B0E6F"/>
    <w:rsid w:val="004B14E5"/>
    <w:rsid w:val="004B175B"/>
    <w:rsid w:val="004B2457"/>
    <w:rsid w:val="004B2937"/>
    <w:rsid w:val="004B2D70"/>
    <w:rsid w:val="004B3060"/>
    <w:rsid w:val="004B35C3"/>
    <w:rsid w:val="004B395D"/>
    <w:rsid w:val="004B40B9"/>
    <w:rsid w:val="004B4628"/>
    <w:rsid w:val="004B46AE"/>
    <w:rsid w:val="004B46F9"/>
    <w:rsid w:val="004B474A"/>
    <w:rsid w:val="004B495E"/>
    <w:rsid w:val="004B52F8"/>
    <w:rsid w:val="004B5523"/>
    <w:rsid w:val="004B57DD"/>
    <w:rsid w:val="004B5A70"/>
    <w:rsid w:val="004B5C18"/>
    <w:rsid w:val="004B5CB7"/>
    <w:rsid w:val="004B5CDA"/>
    <w:rsid w:val="004B6410"/>
    <w:rsid w:val="004B66AD"/>
    <w:rsid w:val="004B7086"/>
    <w:rsid w:val="004B70A8"/>
    <w:rsid w:val="004B7286"/>
    <w:rsid w:val="004B7458"/>
    <w:rsid w:val="004B7BD2"/>
    <w:rsid w:val="004B7C88"/>
    <w:rsid w:val="004B7EC9"/>
    <w:rsid w:val="004C004D"/>
    <w:rsid w:val="004C0176"/>
    <w:rsid w:val="004C0450"/>
    <w:rsid w:val="004C09B0"/>
    <w:rsid w:val="004C0B4E"/>
    <w:rsid w:val="004C12F3"/>
    <w:rsid w:val="004C1ACC"/>
    <w:rsid w:val="004C1D8D"/>
    <w:rsid w:val="004C2057"/>
    <w:rsid w:val="004C2674"/>
    <w:rsid w:val="004C26FB"/>
    <w:rsid w:val="004C26FD"/>
    <w:rsid w:val="004C28A7"/>
    <w:rsid w:val="004C334C"/>
    <w:rsid w:val="004C3E1B"/>
    <w:rsid w:val="004C3E32"/>
    <w:rsid w:val="004C3F56"/>
    <w:rsid w:val="004C3FC7"/>
    <w:rsid w:val="004C439C"/>
    <w:rsid w:val="004C4E3E"/>
    <w:rsid w:val="004C502C"/>
    <w:rsid w:val="004C5109"/>
    <w:rsid w:val="004C56D9"/>
    <w:rsid w:val="004C5EA9"/>
    <w:rsid w:val="004C5F63"/>
    <w:rsid w:val="004C60A2"/>
    <w:rsid w:val="004C63C9"/>
    <w:rsid w:val="004C6E27"/>
    <w:rsid w:val="004C7263"/>
    <w:rsid w:val="004C74A0"/>
    <w:rsid w:val="004C75C7"/>
    <w:rsid w:val="004C7678"/>
    <w:rsid w:val="004C77A5"/>
    <w:rsid w:val="004C7B80"/>
    <w:rsid w:val="004D02F2"/>
    <w:rsid w:val="004D077B"/>
    <w:rsid w:val="004D07F1"/>
    <w:rsid w:val="004D0AF7"/>
    <w:rsid w:val="004D12BA"/>
    <w:rsid w:val="004D17AF"/>
    <w:rsid w:val="004D1E33"/>
    <w:rsid w:val="004D2671"/>
    <w:rsid w:val="004D273B"/>
    <w:rsid w:val="004D29B1"/>
    <w:rsid w:val="004D2DA1"/>
    <w:rsid w:val="004D3132"/>
    <w:rsid w:val="004D3A14"/>
    <w:rsid w:val="004D3C0E"/>
    <w:rsid w:val="004D3E63"/>
    <w:rsid w:val="004D4D3A"/>
    <w:rsid w:val="004D55D6"/>
    <w:rsid w:val="004D573A"/>
    <w:rsid w:val="004D5C9B"/>
    <w:rsid w:val="004D6DA7"/>
    <w:rsid w:val="004D73F4"/>
    <w:rsid w:val="004D7CFA"/>
    <w:rsid w:val="004E05FA"/>
    <w:rsid w:val="004E087F"/>
    <w:rsid w:val="004E179F"/>
    <w:rsid w:val="004E1CDD"/>
    <w:rsid w:val="004E1DB5"/>
    <w:rsid w:val="004E28D6"/>
    <w:rsid w:val="004E3CBA"/>
    <w:rsid w:val="004E3EBB"/>
    <w:rsid w:val="004E4820"/>
    <w:rsid w:val="004E491C"/>
    <w:rsid w:val="004E49E1"/>
    <w:rsid w:val="004E4C36"/>
    <w:rsid w:val="004E6486"/>
    <w:rsid w:val="004E67D4"/>
    <w:rsid w:val="004E6DC8"/>
    <w:rsid w:val="004E703B"/>
    <w:rsid w:val="004E751D"/>
    <w:rsid w:val="004F03B5"/>
    <w:rsid w:val="004F0ADF"/>
    <w:rsid w:val="004F0C62"/>
    <w:rsid w:val="004F1A1C"/>
    <w:rsid w:val="004F1B1D"/>
    <w:rsid w:val="004F1B2E"/>
    <w:rsid w:val="004F20D0"/>
    <w:rsid w:val="004F21C5"/>
    <w:rsid w:val="004F24F2"/>
    <w:rsid w:val="004F2D39"/>
    <w:rsid w:val="004F2FD8"/>
    <w:rsid w:val="004F32DE"/>
    <w:rsid w:val="004F3687"/>
    <w:rsid w:val="004F3E41"/>
    <w:rsid w:val="004F4196"/>
    <w:rsid w:val="004F48DF"/>
    <w:rsid w:val="004F49AF"/>
    <w:rsid w:val="004F5121"/>
    <w:rsid w:val="004F5D21"/>
    <w:rsid w:val="004F624A"/>
    <w:rsid w:val="004F64A7"/>
    <w:rsid w:val="004F6699"/>
    <w:rsid w:val="004F6F2A"/>
    <w:rsid w:val="004F7475"/>
    <w:rsid w:val="004F7A1D"/>
    <w:rsid w:val="004F7EAB"/>
    <w:rsid w:val="00500B40"/>
    <w:rsid w:val="00500C88"/>
    <w:rsid w:val="0050121B"/>
    <w:rsid w:val="005013F9"/>
    <w:rsid w:val="005015F1"/>
    <w:rsid w:val="00501761"/>
    <w:rsid w:val="005029F0"/>
    <w:rsid w:val="00502BB1"/>
    <w:rsid w:val="00502FFC"/>
    <w:rsid w:val="005031CA"/>
    <w:rsid w:val="00503380"/>
    <w:rsid w:val="00503473"/>
    <w:rsid w:val="00503851"/>
    <w:rsid w:val="00503B3A"/>
    <w:rsid w:val="00504261"/>
    <w:rsid w:val="005049BC"/>
    <w:rsid w:val="00505562"/>
    <w:rsid w:val="00505BC8"/>
    <w:rsid w:val="00505F7A"/>
    <w:rsid w:val="00506053"/>
    <w:rsid w:val="00506A63"/>
    <w:rsid w:val="00506A86"/>
    <w:rsid w:val="00506C52"/>
    <w:rsid w:val="00506DA4"/>
    <w:rsid w:val="00506E17"/>
    <w:rsid w:val="00507F12"/>
    <w:rsid w:val="00510246"/>
    <w:rsid w:val="00510398"/>
    <w:rsid w:val="00511060"/>
    <w:rsid w:val="00511260"/>
    <w:rsid w:val="005119DE"/>
    <w:rsid w:val="00512253"/>
    <w:rsid w:val="00512353"/>
    <w:rsid w:val="0051336E"/>
    <w:rsid w:val="0051383A"/>
    <w:rsid w:val="00513A1F"/>
    <w:rsid w:val="00513A6E"/>
    <w:rsid w:val="00513FA1"/>
    <w:rsid w:val="00514ADC"/>
    <w:rsid w:val="00514B17"/>
    <w:rsid w:val="00514D38"/>
    <w:rsid w:val="00514FFD"/>
    <w:rsid w:val="005152C2"/>
    <w:rsid w:val="00515525"/>
    <w:rsid w:val="00515685"/>
    <w:rsid w:val="005169B6"/>
    <w:rsid w:val="00517174"/>
    <w:rsid w:val="0051798E"/>
    <w:rsid w:val="00517BC7"/>
    <w:rsid w:val="00517F95"/>
    <w:rsid w:val="0052003E"/>
    <w:rsid w:val="005201E2"/>
    <w:rsid w:val="0052044D"/>
    <w:rsid w:val="00520D27"/>
    <w:rsid w:val="005217DF"/>
    <w:rsid w:val="0052193C"/>
    <w:rsid w:val="00521BD1"/>
    <w:rsid w:val="005220F4"/>
    <w:rsid w:val="00522281"/>
    <w:rsid w:val="00522740"/>
    <w:rsid w:val="00523204"/>
    <w:rsid w:val="0052321F"/>
    <w:rsid w:val="00523377"/>
    <w:rsid w:val="0052385A"/>
    <w:rsid w:val="00523E2C"/>
    <w:rsid w:val="0052426C"/>
    <w:rsid w:val="0052440B"/>
    <w:rsid w:val="0052523C"/>
    <w:rsid w:val="005252D4"/>
    <w:rsid w:val="005262BB"/>
    <w:rsid w:val="005262FC"/>
    <w:rsid w:val="00526C8E"/>
    <w:rsid w:val="00527432"/>
    <w:rsid w:val="00527B43"/>
    <w:rsid w:val="005306BC"/>
    <w:rsid w:val="005307EE"/>
    <w:rsid w:val="00530B56"/>
    <w:rsid w:val="00530BCA"/>
    <w:rsid w:val="00530EAF"/>
    <w:rsid w:val="00531155"/>
    <w:rsid w:val="00531297"/>
    <w:rsid w:val="00531DD1"/>
    <w:rsid w:val="00531E4B"/>
    <w:rsid w:val="00531E5E"/>
    <w:rsid w:val="00532500"/>
    <w:rsid w:val="0053362C"/>
    <w:rsid w:val="0053497C"/>
    <w:rsid w:val="00534FCA"/>
    <w:rsid w:val="00536725"/>
    <w:rsid w:val="005367A3"/>
    <w:rsid w:val="00536E55"/>
    <w:rsid w:val="005370D2"/>
    <w:rsid w:val="00537704"/>
    <w:rsid w:val="0054012E"/>
    <w:rsid w:val="005401B5"/>
    <w:rsid w:val="00541AD8"/>
    <w:rsid w:val="00542273"/>
    <w:rsid w:val="005434E5"/>
    <w:rsid w:val="00543639"/>
    <w:rsid w:val="0054375F"/>
    <w:rsid w:val="005442F3"/>
    <w:rsid w:val="00544CE9"/>
    <w:rsid w:val="005456DB"/>
    <w:rsid w:val="00545E78"/>
    <w:rsid w:val="00546C32"/>
    <w:rsid w:val="00546E01"/>
    <w:rsid w:val="00546F92"/>
    <w:rsid w:val="00550BBF"/>
    <w:rsid w:val="00550D77"/>
    <w:rsid w:val="00551B2E"/>
    <w:rsid w:val="00552281"/>
    <w:rsid w:val="005523F3"/>
    <w:rsid w:val="005525B9"/>
    <w:rsid w:val="0055279D"/>
    <w:rsid w:val="005527A2"/>
    <w:rsid w:val="005532C2"/>
    <w:rsid w:val="00553A73"/>
    <w:rsid w:val="00553F1D"/>
    <w:rsid w:val="00553F90"/>
    <w:rsid w:val="0055413C"/>
    <w:rsid w:val="00554147"/>
    <w:rsid w:val="00554390"/>
    <w:rsid w:val="005544D1"/>
    <w:rsid w:val="0055462A"/>
    <w:rsid w:val="00555B50"/>
    <w:rsid w:val="00555D33"/>
    <w:rsid w:val="00555F1E"/>
    <w:rsid w:val="0055625E"/>
    <w:rsid w:val="005568BA"/>
    <w:rsid w:val="00557B12"/>
    <w:rsid w:val="00557E20"/>
    <w:rsid w:val="00557F83"/>
    <w:rsid w:val="0056013B"/>
    <w:rsid w:val="0056013E"/>
    <w:rsid w:val="005604CA"/>
    <w:rsid w:val="0056066B"/>
    <w:rsid w:val="005608FF"/>
    <w:rsid w:val="00560AAE"/>
    <w:rsid w:val="00561081"/>
    <w:rsid w:val="00561991"/>
    <w:rsid w:val="00561999"/>
    <w:rsid w:val="00561B77"/>
    <w:rsid w:val="00561D2B"/>
    <w:rsid w:val="00561E24"/>
    <w:rsid w:val="0056239E"/>
    <w:rsid w:val="00562426"/>
    <w:rsid w:val="00562460"/>
    <w:rsid w:val="00562743"/>
    <w:rsid w:val="0056288F"/>
    <w:rsid w:val="00562925"/>
    <w:rsid w:val="00562F9C"/>
    <w:rsid w:val="00563626"/>
    <w:rsid w:val="005636AF"/>
    <w:rsid w:val="00563766"/>
    <w:rsid w:val="00563C38"/>
    <w:rsid w:val="00563CD8"/>
    <w:rsid w:val="00564181"/>
    <w:rsid w:val="0056418C"/>
    <w:rsid w:val="00564F0F"/>
    <w:rsid w:val="00565565"/>
    <w:rsid w:val="00565907"/>
    <w:rsid w:val="00565AA6"/>
    <w:rsid w:val="00565D0C"/>
    <w:rsid w:val="00565DD4"/>
    <w:rsid w:val="00565FC0"/>
    <w:rsid w:val="00566267"/>
    <w:rsid w:val="005668C3"/>
    <w:rsid w:val="005674C3"/>
    <w:rsid w:val="00567743"/>
    <w:rsid w:val="0056797A"/>
    <w:rsid w:val="00567FC0"/>
    <w:rsid w:val="005702CF"/>
    <w:rsid w:val="00570660"/>
    <w:rsid w:val="00570752"/>
    <w:rsid w:val="00570822"/>
    <w:rsid w:val="00570A97"/>
    <w:rsid w:val="005713AD"/>
    <w:rsid w:val="0057163B"/>
    <w:rsid w:val="005718FC"/>
    <w:rsid w:val="00571AC2"/>
    <w:rsid w:val="00571CD7"/>
    <w:rsid w:val="00571D68"/>
    <w:rsid w:val="00571DDA"/>
    <w:rsid w:val="005720C4"/>
    <w:rsid w:val="005723C9"/>
    <w:rsid w:val="005723EA"/>
    <w:rsid w:val="00572A31"/>
    <w:rsid w:val="00572B1C"/>
    <w:rsid w:val="00572C77"/>
    <w:rsid w:val="00573EEE"/>
    <w:rsid w:val="005740FD"/>
    <w:rsid w:val="00574206"/>
    <w:rsid w:val="005745F3"/>
    <w:rsid w:val="00574A71"/>
    <w:rsid w:val="00574B7E"/>
    <w:rsid w:val="00575ACE"/>
    <w:rsid w:val="00575E4F"/>
    <w:rsid w:val="00575F79"/>
    <w:rsid w:val="00576283"/>
    <w:rsid w:val="00576299"/>
    <w:rsid w:val="00576452"/>
    <w:rsid w:val="0057656B"/>
    <w:rsid w:val="00576C7F"/>
    <w:rsid w:val="00576DB8"/>
    <w:rsid w:val="00577007"/>
    <w:rsid w:val="00580B3E"/>
    <w:rsid w:val="00580EF7"/>
    <w:rsid w:val="005812CB"/>
    <w:rsid w:val="00581765"/>
    <w:rsid w:val="00581DEC"/>
    <w:rsid w:val="00582432"/>
    <w:rsid w:val="00582460"/>
    <w:rsid w:val="00582955"/>
    <w:rsid w:val="00583088"/>
    <w:rsid w:val="00583D39"/>
    <w:rsid w:val="0058415D"/>
    <w:rsid w:val="0058458E"/>
    <w:rsid w:val="00584725"/>
    <w:rsid w:val="00584A7C"/>
    <w:rsid w:val="00584DAB"/>
    <w:rsid w:val="00584E20"/>
    <w:rsid w:val="0058528D"/>
    <w:rsid w:val="005858F5"/>
    <w:rsid w:val="00585EEF"/>
    <w:rsid w:val="005861F9"/>
    <w:rsid w:val="0058626E"/>
    <w:rsid w:val="005863A0"/>
    <w:rsid w:val="00586E30"/>
    <w:rsid w:val="00587890"/>
    <w:rsid w:val="0058799E"/>
    <w:rsid w:val="00587E4D"/>
    <w:rsid w:val="005902BF"/>
    <w:rsid w:val="00590920"/>
    <w:rsid w:val="00591093"/>
    <w:rsid w:val="00591341"/>
    <w:rsid w:val="005914FC"/>
    <w:rsid w:val="00591BA6"/>
    <w:rsid w:val="0059224D"/>
    <w:rsid w:val="00592710"/>
    <w:rsid w:val="00592CE9"/>
    <w:rsid w:val="00592D8A"/>
    <w:rsid w:val="005931FE"/>
    <w:rsid w:val="005936F9"/>
    <w:rsid w:val="00593AAF"/>
    <w:rsid w:val="0059484A"/>
    <w:rsid w:val="00594EDC"/>
    <w:rsid w:val="00595420"/>
    <w:rsid w:val="005963C7"/>
    <w:rsid w:val="00596E9A"/>
    <w:rsid w:val="005972B5"/>
    <w:rsid w:val="005976B4"/>
    <w:rsid w:val="00597B61"/>
    <w:rsid w:val="00597F94"/>
    <w:rsid w:val="005A01F3"/>
    <w:rsid w:val="005A09AE"/>
    <w:rsid w:val="005A1383"/>
    <w:rsid w:val="005A19A9"/>
    <w:rsid w:val="005A1C8F"/>
    <w:rsid w:val="005A1CA9"/>
    <w:rsid w:val="005A1E7E"/>
    <w:rsid w:val="005A209B"/>
    <w:rsid w:val="005A289E"/>
    <w:rsid w:val="005A2C06"/>
    <w:rsid w:val="005A2C84"/>
    <w:rsid w:val="005A32DC"/>
    <w:rsid w:val="005A3339"/>
    <w:rsid w:val="005A36B7"/>
    <w:rsid w:val="005A3E1A"/>
    <w:rsid w:val="005A3FE0"/>
    <w:rsid w:val="005A402A"/>
    <w:rsid w:val="005A417A"/>
    <w:rsid w:val="005A4580"/>
    <w:rsid w:val="005A4FD8"/>
    <w:rsid w:val="005A50E7"/>
    <w:rsid w:val="005A592F"/>
    <w:rsid w:val="005A5D1B"/>
    <w:rsid w:val="005A6081"/>
    <w:rsid w:val="005A618D"/>
    <w:rsid w:val="005A629E"/>
    <w:rsid w:val="005A6502"/>
    <w:rsid w:val="005A650D"/>
    <w:rsid w:val="005A665F"/>
    <w:rsid w:val="005A67E1"/>
    <w:rsid w:val="005A6CEF"/>
    <w:rsid w:val="005A738A"/>
    <w:rsid w:val="005A73C1"/>
    <w:rsid w:val="005A75FB"/>
    <w:rsid w:val="005A7872"/>
    <w:rsid w:val="005A7E80"/>
    <w:rsid w:val="005B0348"/>
    <w:rsid w:val="005B0738"/>
    <w:rsid w:val="005B0741"/>
    <w:rsid w:val="005B0842"/>
    <w:rsid w:val="005B0D36"/>
    <w:rsid w:val="005B1357"/>
    <w:rsid w:val="005B1566"/>
    <w:rsid w:val="005B1DB3"/>
    <w:rsid w:val="005B258F"/>
    <w:rsid w:val="005B25DD"/>
    <w:rsid w:val="005B261B"/>
    <w:rsid w:val="005B29B0"/>
    <w:rsid w:val="005B2E44"/>
    <w:rsid w:val="005B32BB"/>
    <w:rsid w:val="005B342C"/>
    <w:rsid w:val="005B3450"/>
    <w:rsid w:val="005B3A5D"/>
    <w:rsid w:val="005B451E"/>
    <w:rsid w:val="005B47E1"/>
    <w:rsid w:val="005B4ED2"/>
    <w:rsid w:val="005B4EE5"/>
    <w:rsid w:val="005B543F"/>
    <w:rsid w:val="005B56D0"/>
    <w:rsid w:val="005B5851"/>
    <w:rsid w:val="005B5F16"/>
    <w:rsid w:val="005B692C"/>
    <w:rsid w:val="005B6975"/>
    <w:rsid w:val="005B6980"/>
    <w:rsid w:val="005B6F05"/>
    <w:rsid w:val="005B738D"/>
    <w:rsid w:val="005B766E"/>
    <w:rsid w:val="005B79CF"/>
    <w:rsid w:val="005B7D24"/>
    <w:rsid w:val="005C0490"/>
    <w:rsid w:val="005C0E15"/>
    <w:rsid w:val="005C0FFD"/>
    <w:rsid w:val="005C12A2"/>
    <w:rsid w:val="005C12C2"/>
    <w:rsid w:val="005C1B22"/>
    <w:rsid w:val="005C1D26"/>
    <w:rsid w:val="005C2166"/>
    <w:rsid w:val="005C2247"/>
    <w:rsid w:val="005C230E"/>
    <w:rsid w:val="005C2D6F"/>
    <w:rsid w:val="005C2D88"/>
    <w:rsid w:val="005C30A0"/>
    <w:rsid w:val="005C36E8"/>
    <w:rsid w:val="005C3780"/>
    <w:rsid w:val="005C39B7"/>
    <w:rsid w:val="005C465C"/>
    <w:rsid w:val="005C4964"/>
    <w:rsid w:val="005C4A9D"/>
    <w:rsid w:val="005C4DB8"/>
    <w:rsid w:val="005C4E85"/>
    <w:rsid w:val="005C5062"/>
    <w:rsid w:val="005C51AA"/>
    <w:rsid w:val="005C5666"/>
    <w:rsid w:val="005C5A4B"/>
    <w:rsid w:val="005C5B00"/>
    <w:rsid w:val="005C6314"/>
    <w:rsid w:val="005C63AA"/>
    <w:rsid w:val="005C65ED"/>
    <w:rsid w:val="005C6A76"/>
    <w:rsid w:val="005C6F84"/>
    <w:rsid w:val="005C7B92"/>
    <w:rsid w:val="005D06B7"/>
    <w:rsid w:val="005D0A3F"/>
    <w:rsid w:val="005D0AA8"/>
    <w:rsid w:val="005D0CF2"/>
    <w:rsid w:val="005D0D00"/>
    <w:rsid w:val="005D1122"/>
    <w:rsid w:val="005D1165"/>
    <w:rsid w:val="005D1894"/>
    <w:rsid w:val="005D1B85"/>
    <w:rsid w:val="005D1BEC"/>
    <w:rsid w:val="005D2158"/>
    <w:rsid w:val="005D27C0"/>
    <w:rsid w:val="005D2860"/>
    <w:rsid w:val="005D296D"/>
    <w:rsid w:val="005D2B9B"/>
    <w:rsid w:val="005D3086"/>
    <w:rsid w:val="005D32EF"/>
    <w:rsid w:val="005D3818"/>
    <w:rsid w:val="005D3B36"/>
    <w:rsid w:val="005D3CB3"/>
    <w:rsid w:val="005D409F"/>
    <w:rsid w:val="005D45AB"/>
    <w:rsid w:val="005D5461"/>
    <w:rsid w:val="005D5507"/>
    <w:rsid w:val="005D5D43"/>
    <w:rsid w:val="005D6001"/>
    <w:rsid w:val="005D6014"/>
    <w:rsid w:val="005D62E8"/>
    <w:rsid w:val="005D6308"/>
    <w:rsid w:val="005D6479"/>
    <w:rsid w:val="005D66D9"/>
    <w:rsid w:val="005D684F"/>
    <w:rsid w:val="005D7178"/>
    <w:rsid w:val="005D71EB"/>
    <w:rsid w:val="005D7201"/>
    <w:rsid w:val="005D726C"/>
    <w:rsid w:val="005D753F"/>
    <w:rsid w:val="005D77F9"/>
    <w:rsid w:val="005D7876"/>
    <w:rsid w:val="005D78A7"/>
    <w:rsid w:val="005D7A35"/>
    <w:rsid w:val="005D7AD4"/>
    <w:rsid w:val="005D7CB3"/>
    <w:rsid w:val="005E05FD"/>
    <w:rsid w:val="005E0CF3"/>
    <w:rsid w:val="005E1497"/>
    <w:rsid w:val="005E14AE"/>
    <w:rsid w:val="005E1694"/>
    <w:rsid w:val="005E16C0"/>
    <w:rsid w:val="005E1BDC"/>
    <w:rsid w:val="005E1F20"/>
    <w:rsid w:val="005E23D4"/>
    <w:rsid w:val="005E2A85"/>
    <w:rsid w:val="005E3212"/>
    <w:rsid w:val="005E3C1F"/>
    <w:rsid w:val="005E4096"/>
    <w:rsid w:val="005E41B9"/>
    <w:rsid w:val="005E41F5"/>
    <w:rsid w:val="005E4445"/>
    <w:rsid w:val="005E459F"/>
    <w:rsid w:val="005E4DD4"/>
    <w:rsid w:val="005E50AF"/>
    <w:rsid w:val="005E5113"/>
    <w:rsid w:val="005E5361"/>
    <w:rsid w:val="005E54B2"/>
    <w:rsid w:val="005E5979"/>
    <w:rsid w:val="005E59D1"/>
    <w:rsid w:val="005E5B74"/>
    <w:rsid w:val="005E5F4C"/>
    <w:rsid w:val="005E605C"/>
    <w:rsid w:val="005E66A8"/>
    <w:rsid w:val="005E67A0"/>
    <w:rsid w:val="005E6A07"/>
    <w:rsid w:val="005E6DF5"/>
    <w:rsid w:val="005E7A04"/>
    <w:rsid w:val="005E7CBD"/>
    <w:rsid w:val="005F0E70"/>
    <w:rsid w:val="005F1162"/>
    <w:rsid w:val="005F129D"/>
    <w:rsid w:val="005F1A04"/>
    <w:rsid w:val="005F1D37"/>
    <w:rsid w:val="005F2236"/>
    <w:rsid w:val="005F236C"/>
    <w:rsid w:val="005F2FB6"/>
    <w:rsid w:val="005F3753"/>
    <w:rsid w:val="005F375E"/>
    <w:rsid w:val="005F3809"/>
    <w:rsid w:val="005F3823"/>
    <w:rsid w:val="005F38EF"/>
    <w:rsid w:val="005F4427"/>
    <w:rsid w:val="005F4B96"/>
    <w:rsid w:val="005F4FC2"/>
    <w:rsid w:val="005F5121"/>
    <w:rsid w:val="005F536B"/>
    <w:rsid w:val="005F5823"/>
    <w:rsid w:val="005F5C22"/>
    <w:rsid w:val="005F62A8"/>
    <w:rsid w:val="005F6D5F"/>
    <w:rsid w:val="005F6DB2"/>
    <w:rsid w:val="005F6EB6"/>
    <w:rsid w:val="005F7395"/>
    <w:rsid w:val="005F79F5"/>
    <w:rsid w:val="005F7A33"/>
    <w:rsid w:val="005F7D89"/>
    <w:rsid w:val="0060017E"/>
    <w:rsid w:val="0060026D"/>
    <w:rsid w:val="006002DD"/>
    <w:rsid w:val="0060078C"/>
    <w:rsid w:val="006009F9"/>
    <w:rsid w:val="00600A29"/>
    <w:rsid w:val="00600DB8"/>
    <w:rsid w:val="00600FF1"/>
    <w:rsid w:val="006010F6"/>
    <w:rsid w:val="00601254"/>
    <w:rsid w:val="00601281"/>
    <w:rsid w:val="006019D1"/>
    <w:rsid w:val="00601FC6"/>
    <w:rsid w:val="006020D1"/>
    <w:rsid w:val="006027E4"/>
    <w:rsid w:val="00602E17"/>
    <w:rsid w:val="00602F6C"/>
    <w:rsid w:val="006037ED"/>
    <w:rsid w:val="006039A9"/>
    <w:rsid w:val="00603BA2"/>
    <w:rsid w:val="00603EFE"/>
    <w:rsid w:val="00604D98"/>
    <w:rsid w:val="006051A7"/>
    <w:rsid w:val="006051C5"/>
    <w:rsid w:val="00605B48"/>
    <w:rsid w:val="00606ADA"/>
    <w:rsid w:val="00606D9F"/>
    <w:rsid w:val="006075C6"/>
    <w:rsid w:val="006077AA"/>
    <w:rsid w:val="00607878"/>
    <w:rsid w:val="00607A0D"/>
    <w:rsid w:val="0061011C"/>
    <w:rsid w:val="00610895"/>
    <w:rsid w:val="00610B0E"/>
    <w:rsid w:val="00610BF3"/>
    <w:rsid w:val="00610D66"/>
    <w:rsid w:val="006111A2"/>
    <w:rsid w:val="006114AF"/>
    <w:rsid w:val="00611C7B"/>
    <w:rsid w:val="00611D3C"/>
    <w:rsid w:val="00611E14"/>
    <w:rsid w:val="00611FF9"/>
    <w:rsid w:val="00612110"/>
    <w:rsid w:val="00612446"/>
    <w:rsid w:val="006124B3"/>
    <w:rsid w:val="0061251C"/>
    <w:rsid w:val="00612529"/>
    <w:rsid w:val="00612F9E"/>
    <w:rsid w:val="006133F8"/>
    <w:rsid w:val="00613BE2"/>
    <w:rsid w:val="0061424C"/>
    <w:rsid w:val="006144E4"/>
    <w:rsid w:val="00614527"/>
    <w:rsid w:val="00614706"/>
    <w:rsid w:val="0061525D"/>
    <w:rsid w:val="00615B04"/>
    <w:rsid w:val="006162E1"/>
    <w:rsid w:val="00616AF3"/>
    <w:rsid w:val="006173B3"/>
    <w:rsid w:val="00617505"/>
    <w:rsid w:val="00617639"/>
    <w:rsid w:val="00617642"/>
    <w:rsid w:val="00620119"/>
    <w:rsid w:val="00620787"/>
    <w:rsid w:val="00620DD4"/>
    <w:rsid w:val="006212DA"/>
    <w:rsid w:val="00621533"/>
    <w:rsid w:val="006217E0"/>
    <w:rsid w:val="006218FA"/>
    <w:rsid w:val="00622079"/>
    <w:rsid w:val="0062212E"/>
    <w:rsid w:val="00622F47"/>
    <w:rsid w:val="006230DC"/>
    <w:rsid w:val="006234D9"/>
    <w:rsid w:val="00623937"/>
    <w:rsid w:val="00623956"/>
    <w:rsid w:val="00623EE8"/>
    <w:rsid w:val="00624350"/>
    <w:rsid w:val="00624AD8"/>
    <w:rsid w:val="00624C5F"/>
    <w:rsid w:val="00625116"/>
    <w:rsid w:val="00625332"/>
    <w:rsid w:val="006253DB"/>
    <w:rsid w:val="006254AA"/>
    <w:rsid w:val="00625517"/>
    <w:rsid w:val="00625E17"/>
    <w:rsid w:val="00626360"/>
    <w:rsid w:val="006264CF"/>
    <w:rsid w:val="006265B4"/>
    <w:rsid w:val="00626E72"/>
    <w:rsid w:val="006271D8"/>
    <w:rsid w:val="006273F5"/>
    <w:rsid w:val="00627828"/>
    <w:rsid w:val="00627CE8"/>
    <w:rsid w:val="00627E3B"/>
    <w:rsid w:val="006300BE"/>
    <w:rsid w:val="00630107"/>
    <w:rsid w:val="006302D3"/>
    <w:rsid w:val="00630335"/>
    <w:rsid w:val="006304C5"/>
    <w:rsid w:val="00630516"/>
    <w:rsid w:val="0063296B"/>
    <w:rsid w:val="00633142"/>
    <w:rsid w:val="00634249"/>
    <w:rsid w:val="00634315"/>
    <w:rsid w:val="0063490F"/>
    <w:rsid w:val="006349CD"/>
    <w:rsid w:val="006349E0"/>
    <w:rsid w:val="00634F94"/>
    <w:rsid w:val="0063509D"/>
    <w:rsid w:val="006351CF"/>
    <w:rsid w:val="006357E2"/>
    <w:rsid w:val="006359D4"/>
    <w:rsid w:val="00635C28"/>
    <w:rsid w:val="00635FFC"/>
    <w:rsid w:val="006364A1"/>
    <w:rsid w:val="00636AE4"/>
    <w:rsid w:val="00636D5D"/>
    <w:rsid w:val="00637521"/>
    <w:rsid w:val="00637612"/>
    <w:rsid w:val="00637A4A"/>
    <w:rsid w:val="00637C4F"/>
    <w:rsid w:val="006401B2"/>
    <w:rsid w:val="006401DD"/>
    <w:rsid w:val="006406ED"/>
    <w:rsid w:val="00640D8A"/>
    <w:rsid w:val="00641356"/>
    <w:rsid w:val="00641FB7"/>
    <w:rsid w:val="0064201F"/>
    <w:rsid w:val="006423D5"/>
    <w:rsid w:val="006425CE"/>
    <w:rsid w:val="0064269C"/>
    <w:rsid w:val="00642858"/>
    <w:rsid w:val="00642C21"/>
    <w:rsid w:val="00643278"/>
    <w:rsid w:val="0064328D"/>
    <w:rsid w:val="006432ED"/>
    <w:rsid w:val="00643500"/>
    <w:rsid w:val="006441FA"/>
    <w:rsid w:val="00644374"/>
    <w:rsid w:val="00644831"/>
    <w:rsid w:val="00644AC3"/>
    <w:rsid w:val="00644BCD"/>
    <w:rsid w:val="00644D5F"/>
    <w:rsid w:val="00644FD7"/>
    <w:rsid w:val="006454D4"/>
    <w:rsid w:val="00645B56"/>
    <w:rsid w:val="00645DEA"/>
    <w:rsid w:val="00645E32"/>
    <w:rsid w:val="006466F2"/>
    <w:rsid w:val="006472CA"/>
    <w:rsid w:val="006473FC"/>
    <w:rsid w:val="006477E9"/>
    <w:rsid w:val="0065066D"/>
    <w:rsid w:val="00650EC6"/>
    <w:rsid w:val="00650F54"/>
    <w:rsid w:val="0065106A"/>
    <w:rsid w:val="00652B42"/>
    <w:rsid w:val="006533DA"/>
    <w:rsid w:val="00653494"/>
    <w:rsid w:val="006536B2"/>
    <w:rsid w:val="00653921"/>
    <w:rsid w:val="00653983"/>
    <w:rsid w:val="00653E35"/>
    <w:rsid w:val="00653F4F"/>
    <w:rsid w:val="00654217"/>
    <w:rsid w:val="00654A0F"/>
    <w:rsid w:val="00654C0D"/>
    <w:rsid w:val="00654DB9"/>
    <w:rsid w:val="00654FD6"/>
    <w:rsid w:val="0065502C"/>
    <w:rsid w:val="00655E50"/>
    <w:rsid w:val="0065640C"/>
    <w:rsid w:val="00656ACB"/>
    <w:rsid w:val="0065783E"/>
    <w:rsid w:val="00657B9A"/>
    <w:rsid w:val="00657D0D"/>
    <w:rsid w:val="00660150"/>
    <w:rsid w:val="006602C0"/>
    <w:rsid w:val="006605A6"/>
    <w:rsid w:val="00660632"/>
    <w:rsid w:val="00660893"/>
    <w:rsid w:val="00660A6F"/>
    <w:rsid w:val="00661A81"/>
    <w:rsid w:val="00661D0E"/>
    <w:rsid w:val="00662183"/>
    <w:rsid w:val="006628E1"/>
    <w:rsid w:val="00662F04"/>
    <w:rsid w:val="00663289"/>
    <w:rsid w:val="00663937"/>
    <w:rsid w:val="00663EBE"/>
    <w:rsid w:val="00664D9A"/>
    <w:rsid w:val="00664FC4"/>
    <w:rsid w:val="00665518"/>
    <w:rsid w:val="00665740"/>
    <w:rsid w:val="00665AA2"/>
    <w:rsid w:val="00665C57"/>
    <w:rsid w:val="00665D13"/>
    <w:rsid w:val="00665D35"/>
    <w:rsid w:val="00666962"/>
    <w:rsid w:val="006669FB"/>
    <w:rsid w:val="00666C08"/>
    <w:rsid w:val="00666E75"/>
    <w:rsid w:val="00666F9B"/>
    <w:rsid w:val="0066707C"/>
    <w:rsid w:val="0066766F"/>
    <w:rsid w:val="00667680"/>
    <w:rsid w:val="00670426"/>
    <w:rsid w:val="00670555"/>
    <w:rsid w:val="00670971"/>
    <w:rsid w:val="00670AC6"/>
    <w:rsid w:val="00670BE0"/>
    <w:rsid w:val="00670C05"/>
    <w:rsid w:val="00671004"/>
    <w:rsid w:val="00671071"/>
    <w:rsid w:val="006710DB"/>
    <w:rsid w:val="00671E40"/>
    <w:rsid w:val="0067208B"/>
    <w:rsid w:val="006722EC"/>
    <w:rsid w:val="006725AE"/>
    <w:rsid w:val="00672699"/>
    <w:rsid w:val="00672967"/>
    <w:rsid w:val="006730C9"/>
    <w:rsid w:val="00673C1E"/>
    <w:rsid w:val="00673D77"/>
    <w:rsid w:val="00673EC1"/>
    <w:rsid w:val="00674212"/>
    <w:rsid w:val="006746F9"/>
    <w:rsid w:val="00674820"/>
    <w:rsid w:val="00674887"/>
    <w:rsid w:val="00674C4D"/>
    <w:rsid w:val="00674FB2"/>
    <w:rsid w:val="006757D2"/>
    <w:rsid w:val="00675C8E"/>
    <w:rsid w:val="00676ABB"/>
    <w:rsid w:val="00676C28"/>
    <w:rsid w:val="00676F5B"/>
    <w:rsid w:val="00677032"/>
    <w:rsid w:val="0067713B"/>
    <w:rsid w:val="0067714D"/>
    <w:rsid w:val="0067725E"/>
    <w:rsid w:val="006773EC"/>
    <w:rsid w:val="00677E75"/>
    <w:rsid w:val="00677F89"/>
    <w:rsid w:val="0068006D"/>
    <w:rsid w:val="00680295"/>
    <w:rsid w:val="0068032E"/>
    <w:rsid w:val="00680570"/>
    <w:rsid w:val="006805D3"/>
    <w:rsid w:val="00680880"/>
    <w:rsid w:val="00680B75"/>
    <w:rsid w:val="0068101D"/>
    <w:rsid w:val="00681044"/>
    <w:rsid w:val="00681122"/>
    <w:rsid w:val="0068135A"/>
    <w:rsid w:val="00681B68"/>
    <w:rsid w:val="006821A4"/>
    <w:rsid w:val="0068267C"/>
    <w:rsid w:val="006826B3"/>
    <w:rsid w:val="00682D16"/>
    <w:rsid w:val="00682D29"/>
    <w:rsid w:val="00682DEE"/>
    <w:rsid w:val="00682EE8"/>
    <w:rsid w:val="006837B9"/>
    <w:rsid w:val="00683DF3"/>
    <w:rsid w:val="00683E8C"/>
    <w:rsid w:val="006853ED"/>
    <w:rsid w:val="00685949"/>
    <w:rsid w:val="00685D79"/>
    <w:rsid w:val="00686346"/>
    <w:rsid w:val="00686828"/>
    <w:rsid w:val="006869F0"/>
    <w:rsid w:val="00686C85"/>
    <w:rsid w:val="00687276"/>
    <w:rsid w:val="006876BD"/>
    <w:rsid w:val="00687CCB"/>
    <w:rsid w:val="00687E13"/>
    <w:rsid w:val="0069013D"/>
    <w:rsid w:val="00690387"/>
    <w:rsid w:val="006905C7"/>
    <w:rsid w:val="00690837"/>
    <w:rsid w:val="00690AC6"/>
    <w:rsid w:val="00690F1B"/>
    <w:rsid w:val="0069158F"/>
    <w:rsid w:val="006916D1"/>
    <w:rsid w:val="00691705"/>
    <w:rsid w:val="00691987"/>
    <w:rsid w:val="00691CDA"/>
    <w:rsid w:val="006927EC"/>
    <w:rsid w:val="00693FE7"/>
    <w:rsid w:val="00694067"/>
    <w:rsid w:val="006940A4"/>
    <w:rsid w:val="006947AC"/>
    <w:rsid w:val="00694C8C"/>
    <w:rsid w:val="006950E7"/>
    <w:rsid w:val="0069520E"/>
    <w:rsid w:val="006958A0"/>
    <w:rsid w:val="006958AF"/>
    <w:rsid w:val="006963F9"/>
    <w:rsid w:val="006966B1"/>
    <w:rsid w:val="00696720"/>
    <w:rsid w:val="0069681A"/>
    <w:rsid w:val="0069682A"/>
    <w:rsid w:val="00697A68"/>
    <w:rsid w:val="00697CDF"/>
    <w:rsid w:val="006A01A4"/>
    <w:rsid w:val="006A0229"/>
    <w:rsid w:val="006A0860"/>
    <w:rsid w:val="006A0886"/>
    <w:rsid w:val="006A119D"/>
    <w:rsid w:val="006A15A7"/>
    <w:rsid w:val="006A1726"/>
    <w:rsid w:val="006A17AE"/>
    <w:rsid w:val="006A1945"/>
    <w:rsid w:val="006A1A8A"/>
    <w:rsid w:val="006A1C0D"/>
    <w:rsid w:val="006A1C45"/>
    <w:rsid w:val="006A2562"/>
    <w:rsid w:val="006A267D"/>
    <w:rsid w:val="006A2BA6"/>
    <w:rsid w:val="006A2E43"/>
    <w:rsid w:val="006A30A0"/>
    <w:rsid w:val="006A3775"/>
    <w:rsid w:val="006A383D"/>
    <w:rsid w:val="006A3EBE"/>
    <w:rsid w:val="006A46B0"/>
    <w:rsid w:val="006A4716"/>
    <w:rsid w:val="006A4C73"/>
    <w:rsid w:val="006A4E95"/>
    <w:rsid w:val="006A5A09"/>
    <w:rsid w:val="006A5DAA"/>
    <w:rsid w:val="006A60EE"/>
    <w:rsid w:val="006A62B4"/>
    <w:rsid w:val="006A6655"/>
    <w:rsid w:val="006A677F"/>
    <w:rsid w:val="006A6D51"/>
    <w:rsid w:val="006A6D76"/>
    <w:rsid w:val="006A7692"/>
    <w:rsid w:val="006A7D65"/>
    <w:rsid w:val="006A7E0C"/>
    <w:rsid w:val="006A7F04"/>
    <w:rsid w:val="006A7F11"/>
    <w:rsid w:val="006B09B5"/>
    <w:rsid w:val="006B09D1"/>
    <w:rsid w:val="006B0B6D"/>
    <w:rsid w:val="006B1248"/>
    <w:rsid w:val="006B141A"/>
    <w:rsid w:val="006B197B"/>
    <w:rsid w:val="006B3776"/>
    <w:rsid w:val="006B3C6A"/>
    <w:rsid w:val="006B3C95"/>
    <w:rsid w:val="006B43FC"/>
    <w:rsid w:val="006B4592"/>
    <w:rsid w:val="006B4802"/>
    <w:rsid w:val="006B4F26"/>
    <w:rsid w:val="006B55F9"/>
    <w:rsid w:val="006B5912"/>
    <w:rsid w:val="006B5D1D"/>
    <w:rsid w:val="006B5F3A"/>
    <w:rsid w:val="006B5F8D"/>
    <w:rsid w:val="006B6228"/>
    <w:rsid w:val="006B65C4"/>
    <w:rsid w:val="006B7117"/>
    <w:rsid w:val="006B7499"/>
    <w:rsid w:val="006B7579"/>
    <w:rsid w:val="006B78A1"/>
    <w:rsid w:val="006B7AC4"/>
    <w:rsid w:val="006B7EDF"/>
    <w:rsid w:val="006C0464"/>
    <w:rsid w:val="006C0D26"/>
    <w:rsid w:val="006C11D9"/>
    <w:rsid w:val="006C15B5"/>
    <w:rsid w:val="006C18A5"/>
    <w:rsid w:val="006C1E23"/>
    <w:rsid w:val="006C2011"/>
    <w:rsid w:val="006C2169"/>
    <w:rsid w:val="006C2541"/>
    <w:rsid w:val="006C29A6"/>
    <w:rsid w:val="006C2A2E"/>
    <w:rsid w:val="006C2B6D"/>
    <w:rsid w:val="006C308F"/>
    <w:rsid w:val="006C33B3"/>
    <w:rsid w:val="006C36D2"/>
    <w:rsid w:val="006C376D"/>
    <w:rsid w:val="006C387A"/>
    <w:rsid w:val="006C38A4"/>
    <w:rsid w:val="006C3E0F"/>
    <w:rsid w:val="006C406D"/>
    <w:rsid w:val="006C40AE"/>
    <w:rsid w:val="006C40DF"/>
    <w:rsid w:val="006C40E4"/>
    <w:rsid w:val="006C43FC"/>
    <w:rsid w:val="006C4A15"/>
    <w:rsid w:val="006C4D3F"/>
    <w:rsid w:val="006C4E31"/>
    <w:rsid w:val="006C594E"/>
    <w:rsid w:val="006C5AD4"/>
    <w:rsid w:val="006C5AF8"/>
    <w:rsid w:val="006C5ED5"/>
    <w:rsid w:val="006C6442"/>
    <w:rsid w:val="006C6CBE"/>
    <w:rsid w:val="006C7003"/>
    <w:rsid w:val="006C70C9"/>
    <w:rsid w:val="006C7532"/>
    <w:rsid w:val="006C796C"/>
    <w:rsid w:val="006C7A2F"/>
    <w:rsid w:val="006C7FA7"/>
    <w:rsid w:val="006D05DA"/>
    <w:rsid w:val="006D06A3"/>
    <w:rsid w:val="006D0717"/>
    <w:rsid w:val="006D0754"/>
    <w:rsid w:val="006D0CC1"/>
    <w:rsid w:val="006D12C7"/>
    <w:rsid w:val="006D12EB"/>
    <w:rsid w:val="006D14C8"/>
    <w:rsid w:val="006D1590"/>
    <w:rsid w:val="006D19EA"/>
    <w:rsid w:val="006D1BC8"/>
    <w:rsid w:val="006D1E99"/>
    <w:rsid w:val="006D1F38"/>
    <w:rsid w:val="006D27EE"/>
    <w:rsid w:val="006D2D0A"/>
    <w:rsid w:val="006D334E"/>
    <w:rsid w:val="006D3405"/>
    <w:rsid w:val="006D34C4"/>
    <w:rsid w:val="006D3C59"/>
    <w:rsid w:val="006D3E9E"/>
    <w:rsid w:val="006D4283"/>
    <w:rsid w:val="006D4307"/>
    <w:rsid w:val="006D43F8"/>
    <w:rsid w:val="006D4CCB"/>
    <w:rsid w:val="006D4EE3"/>
    <w:rsid w:val="006D50C4"/>
    <w:rsid w:val="006D569E"/>
    <w:rsid w:val="006D5A82"/>
    <w:rsid w:val="006D5CEE"/>
    <w:rsid w:val="006D6152"/>
    <w:rsid w:val="006D65C3"/>
    <w:rsid w:val="006D6ED8"/>
    <w:rsid w:val="006D7094"/>
    <w:rsid w:val="006D71AC"/>
    <w:rsid w:val="006D73B3"/>
    <w:rsid w:val="006D7D0A"/>
    <w:rsid w:val="006E08F8"/>
    <w:rsid w:val="006E0A94"/>
    <w:rsid w:val="006E0C41"/>
    <w:rsid w:val="006E0EBD"/>
    <w:rsid w:val="006E13B2"/>
    <w:rsid w:val="006E1662"/>
    <w:rsid w:val="006E18A2"/>
    <w:rsid w:val="006E1A9E"/>
    <w:rsid w:val="006E1D6D"/>
    <w:rsid w:val="006E2273"/>
    <w:rsid w:val="006E23D5"/>
    <w:rsid w:val="006E2488"/>
    <w:rsid w:val="006E2C86"/>
    <w:rsid w:val="006E2DC2"/>
    <w:rsid w:val="006E30F7"/>
    <w:rsid w:val="006E36A3"/>
    <w:rsid w:val="006E38BB"/>
    <w:rsid w:val="006E4142"/>
    <w:rsid w:val="006E4BCE"/>
    <w:rsid w:val="006E50D9"/>
    <w:rsid w:val="006E5678"/>
    <w:rsid w:val="006E56AB"/>
    <w:rsid w:val="006E5724"/>
    <w:rsid w:val="006E59B9"/>
    <w:rsid w:val="006E6531"/>
    <w:rsid w:val="006E6811"/>
    <w:rsid w:val="006E6BFA"/>
    <w:rsid w:val="006E6C2B"/>
    <w:rsid w:val="006E7026"/>
    <w:rsid w:val="006E76BE"/>
    <w:rsid w:val="006E7B8E"/>
    <w:rsid w:val="006F0275"/>
    <w:rsid w:val="006F02D3"/>
    <w:rsid w:val="006F0573"/>
    <w:rsid w:val="006F060F"/>
    <w:rsid w:val="006F06C7"/>
    <w:rsid w:val="006F0851"/>
    <w:rsid w:val="006F142E"/>
    <w:rsid w:val="006F15F0"/>
    <w:rsid w:val="006F18E1"/>
    <w:rsid w:val="006F1E3B"/>
    <w:rsid w:val="006F1E3C"/>
    <w:rsid w:val="006F1EB2"/>
    <w:rsid w:val="006F1ECC"/>
    <w:rsid w:val="006F2E15"/>
    <w:rsid w:val="006F2E5E"/>
    <w:rsid w:val="006F2EA3"/>
    <w:rsid w:val="006F3812"/>
    <w:rsid w:val="006F41AF"/>
    <w:rsid w:val="006F435A"/>
    <w:rsid w:val="006F49F5"/>
    <w:rsid w:val="006F4CC6"/>
    <w:rsid w:val="006F4F4C"/>
    <w:rsid w:val="006F5335"/>
    <w:rsid w:val="006F5743"/>
    <w:rsid w:val="006F5F1F"/>
    <w:rsid w:val="006F653C"/>
    <w:rsid w:val="006F671F"/>
    <w:rsid w:val="006F6C80"/>
    <w:rsid w:val="006F6D0E"/>
    <w:rsid w:val="006F6E93"/>
    <w:rsid w:val="006F72FE"/>
    <w:rsid w:val="006F7F73"/>
    <w:rsid w:val="0070017A"/>
    <w:rsid w:val="007006B2"/>
    <w:rsid w:val="0070074A"/>
    <w:rsid w:val="007009BC"/>
    <w:rsid w:val="0070121F"/>
    <w:rsid w:val="00701D6E"/>
    <w:rsid w:val="007023D9"/>
    <w:rsid w:val="00702848"/>
    <w:rsid w:val="00702A94"/>
    <w:rsid w:val="00702D75"/>
    <w:rsid w:val="00702DA0"/>
    <w:rsid w:val="00702E8C"/>
    <w:rsid w:val="0070302D"/>
    <w:rsid w:val="00703121"/>
    <w:rsid w:val="007032A1"/>
    <w:rsid w:val="007033DC"/>
    <w:rsid w:val="00703409"/>
    <w:rsid w:val="00703926"/>
    <w:rsid w:val="00703C82"/>
    <w:rsid w:val="00703E8D"/>
    <w:rsid w:val="0070415A"/>
    <w:rsid w:val="00704A49"/>
    <w:rsid w:val="00704CAA"/>
    <w:rsid w:val="00704CC0"/>
    <w:rsid w:val="00704E94"/>
    <w:rsid w:val="00704F70"/>
    <w:rsid w:val="00705553"/>
    <w:rsid w:val="0070583D"/>
    <w:rsid w:val="00705EB9"/>
    <w:rsid w:val="00706411"/>
    <w:rsid w:val="00706D4E"/>
    <w:rsid w:val="00706E63"/>
    <w:rsid w:val="00706EB9"/>
    <w:rsid w:val="0070793E"/>
    <w:rsid w:val="00707CA6"/>
    <w:rsid w:val="007107F2"/>
    <w:rsid w:val="007109E3"/>
    <w:rsid w:val="00710F65"/>
    <w:rsid w:val="00711053"/>
    <w:rsid w:val="00711749"/>
    <w:rsid w:val="00711932"/>
    <w:rsid w:val="00711AEA"/>
    <w:rsid w:val="00712653"/>
    <w:rsid w:val="007127A5"/>
    <w:rsid w:val="0071352C"/>
    <w:rsid w:val="00714907"/>
    <w:rsid w:val="007151CD"/>
    <w:rsid w:val="00715DB8"/>
    <w:rsid w:val="0071651E"/>
    <w:rsid w:val="00716D5A"/>
    <w:rsid w:val="00716F4D"/>
    <w:rsid w:val="00717086"/>
    <w:rsid w:val="00717704"/>
    <w:rsid w:val="007201FE"/>
    <w:rsid w:val="0072020A"/>
    <w:rsid w:val="007203AC"/>
    <w:rsid w:val="007204B5"/>
    <w:rsid w:val="0072055B"/>
    <w:rsid w:val="00720DDB"/>
    <w:rsid w:val="007212F8"/>
    <w:rsid w:val="00721478"/>
    <w:rsid w:val="00721502"/>
    <w:rsid w:val="007215A3"/>
    <w:rsid w:val="00721BAA"/>
    <w:rsid w:val="00721BE9"/>
    <w:rsid w:val="00721C09"/>
    <w:rsid w:val="00721E69"/>
    <w:rsid w:val="007235F0"/>
    <w:rsid w:val="007237D4"/>
    <w:rsid w:val="00723A8C"/>
    <w:rsid w:val="00723E0E"/>
    <w:rsid w:val="007249C3"/>
    <w:rsid w:val="00724F80"/>
    <w:rsid w:val="00725129"/>
    <w:rsid w:val="0072539B"/>
    <w:rsid w:val="00725602"/>
    <w:rsid w:val="007258A3"/>
    <w:rsid w:val="00725D5B"/>
    <w:rsid w:val="0072656D"/>
    <w:rsid w:val="00726CD0"/>
    <w:rsid w:val="00726D10"/>
    <w:rsid w:val="00727694"/>
    <w:rsid w:val="0073010B"/>
    <w:rsid w:val="007302F5"/>
    <w:rsid w:val="00730848"/>
    <w:rsid w:val="007308D0"/>
    <w:rsid w:val="00730C26"/>
    <w:rsid w:val="007318D0"/>
    <w:rsid w:val="00731B66"/>
    <w:rsid w:val="00731BCC"/>
    <w:rsid w:val="00731C37"/>
    <w:rsid w:val="00731D21"/>
    <w:rsid w:val="00732430"/>
    <w:rsid w:val="00732471"/>
    <w:rsid w:val="00732579"/>
    <w:rsid w:val="007327BD"/>
    <w:rsid w:val="007328F0"/>
    <w:rsid w:val="00732D5C"/>
    <w:rsid w:val="00733187"/>
    <w:rsid w:val="0073418B"/>
    <w:rsid w:val="0073421D"/>
    <w:rsid w:val="007344E8"/>
    <w:rsid w:val="007346C6"/>
    <w:rsid w:val="00735E63"/>
    <w:rsid w:val="00735F7D"/>
    <w:rsid w:val="00736060"/>
    <w:rsid w:val="00736F2D"/>
    <w:rsid w:val="007376A6"/>
    <w:rsid w:val="00737791"/>
    <w:rsid w:val="00737E19"/>
    <w:rsid w:val="007400FB"/>
    <w:rsid w:val="0074033E"/>
    <w:rsid w:val="0074097A"/>
    <w:rsid w:val="00742390"/>
    <w:rsid w:val="00742B8E"/>
    <w:rsid w:val="00742D6C"/>
    <w:rsid w:val="007434A7"/>
    <w:rsid w:val="00743F2F"/>
    <w:rsid w:val="00743F54"/>
    <w:rsid w:val="00744322"/>
    <w:rsid w:val="00744437"/>
    <w:rsid w:val="0074462B"/>
    <w:rsid w:val="0074478F"/>
    <w:rsid w:val="00744AAE"/>
    <w:rsid w:val="00744D1F"/>
    <w:rsid w:val="00745469"/>
    <w:rsid w:val="00745830"/>
    <w:rsid w:val="00745B84"/>
    <w:rsid w:val="00745D0C"/>
    <w:rsid w:val="00745FA6"/>
    <w:rsid w:val="00746014"/>
    <w:rsid w:val="00746810"/>
    <w:rsid w:val="00746936"/>
    <w:rsid w:val="00746B7E"/>
    <w:rsid w:val="00746D1E"/>
    <w:rsid w:val="00746D93"/>
    <w:rsid w:val="00746EB5"/>
    <w:rsid w:val="00746FDE"/>
    <w:rsid w:val="00747477"/>
    <w:rsid w:val="007476E0"/>
    <w:rsid w:val="0074793C"/>
    <w:rsid w:val="00747A5E"/>
    <w:rsid w:val="0075033D"/>
    <w:rsid w:val="00750380"/>
    <w:rsid w:val="0075042E"/>
    <w:rsid w:val="00750498"/>
    <w:rsid w:val="00750892"/>
    <w:rsid w:val="00750BEB"/>
    <w:rsid w:val="00750EA8"/>
    <w:rsid w:val="00751425"/>
    <w:rsid w:val="00751782"/>
    <w:rsid w:val="007517E6"/>
    <w:rsid w:val="00751ED2"/>
    <w:rsid w:val="00752970"/>
    <w:rsid w:val="007530A1"/>
    <w:rsid w:val="00753601"/>
    <w:rsid w:val="00754826"/>
    <w:rsid w:val="007548EC"/>
    <w:rsid w:val="00755A79"/>
    <w:rsid w:val="00755B5B"/>
    <w:rsid w:val="007563B3"/>
    <w:rsid w:val="00756F5B"/>
    <w:rsid w:val="00757025"/>
    <w:rsid w:val="007570B5"/>
    <w:rsid w:val="00757B3B"/>
    <w:rsid w:val="00757B94"/>
    <w:rsid w:val="00757F7E"/>
    <w:rsid w:val="00760019"/>
    <w:rsid w:val="0076092B"/>
    <w:rsid w:val="00761364"/>
    <w:rsid w:val="00761838"/>
    <w:rsid w:val="00761A5F"/>
    <w:rsid w:val="00761C73"/>
    <w:rsid w:val="007623CA"/>
    <w:rsid w:val="00762584"/>
    <w:rsid w:val="0076308D"/>
    <w:rsid w:val="0076331B"/>
    <w:rsid w:val="007635A7"/>
    <w:rsid w:val="0076395B"/>
    <w:rsid w:val="00763A04"/>
    <w:rsid w:val="00763B96"/>
    <w:rsid w:val="00763C74"/>
    <w:rsid w:val="00764C45"/>
    <w:rsid w:val="00764FE9"/>
    <w:rsid w:val="0076504F"/>
    <w:rsid w:val="007658E9"/>
    <w:rsid w:val="0076591A"/>
    <w:rsid w:val="00765D2C"/>
    <w:rsid w:val="00765F9F"/>
    <w:rsid w:val="00765FC8"/>
    <w:rsid w:val="00765FF2"/>
    <w:rsid w:val="0076641F"/>
    <w:rsid w:val="0076645E"/>
    <w:rsid w:val="00766534"/>
    <w:rsid w:val="00767CD1"/>
    <w:rsid w:val="00770CF2"/>
    <w:rsid w:val="007714F9"/>
    <w:rsid w:val="00771DCC"/>
    <w:rsid w:val="007723CF"/>
    <w:rsid w:val="007724E3"/>
    <w:rsid w:val="00772A71"/>
    <w:rsid w:val="00772D8B"/>
    <w:rsid w:val="00772FD4"/>
    <w:rsid w:val="00773023"/>
    <w:rsid w:val="0077305F"/>
    <w:rsid w:val="0077351B"/>
    <w:rsid w:val="0077366D"/>
    <w:rsid w:val="00773996"/>
    <w:rsid w:val="00773C1C"/>
    <w:rsid w:val="00774350"/>
    <w:rsid w:val="0077444A"/>
    <w:rsid w:val="007755C0"/>
    <w:rsid w:val="007758E4"/>
    <w:rsid w:val="0077618A"/>
    <w:rsid w:val="007763EE"/>
    <w:rsid w:val="0077647F"/>
    <w:rsid w:val="00776B49"/>
    <w:rsid w:val="00776BE7"/>
    <w:rsid w:val="00776E34"/>
    <w:rsid w:val="00776E85"/>
    <w:rsid w:val="007811AF"/>
    <w:rsid w:val="007813F0"/>
    <w:rsid w:val="00781E44"/>
    <w:rsid w:val="00781EE3"/>
    <w:rsid w:val="007823AA"/>
    <w:rsid w:val="00782598"/>
    <w:rsid w:val="007826FA"/>
    <w:rsid w:val="00782764"/>
    <w:rsid w:val="007827CC"/>
    <w:rsid w:val="007828D3"/>
    <w:rsid w:val="00782AD6"/>
    <w:rsid w:val="00783103"/>
    <w:rsid w:val="00783551"/>
    <w:rsid w:val="00783A31"/>
    <w:rsid w:val="00784283"/>
    <w:rsid w:val="00784631"/>
    <w:rsid w:val="00784C13"/>
    <w:rsid w:val="007850C8"/>
    <w:rsid w:val="007854E4"/>
    <w:rsid w:val="00785E91"/>
    <w:rsid w:val="00786D5D"/>
    <w:rsid w:val="00786DD3"/>
    <w:rsid w:val="0078714E"/>
    <w:rsid w:val="007876E3"/>
    <w:rsid w:val="0078777A"/>
    <w:rsid w:val="00787C6D"/>
    <w:rsid w:val="00787D7B"/>
    <w:rsid w:val="007903C5"/>
    <w:rsid w:val="007907F7"/>
    <w:rsid w:val="00791863"/>
    <w:rsid w:val="007919C3"/>
    <w:rsid w:val="0079214D"/>
    <w:rsid w:val="007924AB"/>
    <w:rsid w:val="007925BF"/>
    <w:rsid w:val="007929E7"/>
    <w:rsid w:val="007930E3"/>
    <w:rsid w:val="0079359D"/>
    <w:rsid w:val="00793865"/>
    <w:rsid w:val="007939C1"/>
    <w:rsid w:val="00793BCB"/>
    <w:rsid w:val="00793C7F"/>
    <w:rsid w:val="00793D0D"/>
    <w:rsid w:val="00793FF5"/>
    <w:rsid w:val="0079403A"/>
    <w:rsid w:val="00794139"/>
    <w:rsid w:val="0079426A"/>
    <w:rsid w:val="007943CF"/>
    <w:rsid w:val="007944E7"/>
    <w:rsid w:val="007945AA"/>
    <w:rsid w:val="007945E2"/>
    <w:rsid w:val="00794B0C"/>
    <w:rsid w:val="00795047"/>
    <w:rsid w:val="00795251"/>
    <w:rsid w:val="00795364"/>
    <w:rsid w:val="007953AF"/>
    <w:rsid w:val="00795640"/>
    <w:rsid w:val="007956C7"/>
    <w:rsid w:val="00795E58"/>
    <w:rsid w:val="00796122"/>
    <w:rsid w:val="007962B4"/>
    <w:rsid w:val="007964BD"/>
    <w:rsid w:val="00796AFB"/>
    <w:rsid w:val="00797077"/>
    <w:rsid w:val="007970D0"/>
    <w:rsid w:val="00797106"/>
    <w:rsid w:val="00797241"/>
    <w:rsid w:val="007A06CD"/>
    <w:rsid w:val="007A0BE7"/>
    <w:rsid w:val="007A0C39"/>
    <w:rsid w:val="007A0CA2"/>
    <w:rsid w:val="007A0CBF"/>
    <w:rsid w:val="007A0E15"/>
    <w:rsid w:val="007A0EDB"/>
    <w:rsid w:val="007A1037"/>
    <w:rsid w:val="007A14F8"/>
    <w:rsid w:val="007A23AD"/>
    <w:rsid w:val="007A245E"/>
    <w:rsid w:val="007A24C3"/>
    <w:rsid w:val="007A2B91"/>
    <w:rsid w:val="007A301E"/>
    <w:rsid w:val="007A3DB8"/>
    <w:rsid w:val="007A4775"/>
    <w:rsid w:val="007A4F26"/>
    <w:rsid w:val="007A5042"/>
    <w:rsid w:val="007A52FF"/>
    <w:rsid w:val="007A5360"/>
    <w:rsid w:val="007A5598"/>
    <w:rsid w:val="007A579C"/>
    <w:rsid w:val="007A5E0A"/>
    <w:rsid w:val="007A65AE"/>
    <w:rsid w:val="007A65DA"/>
    <w:rsid w:val="007A68D2"/>
    <w:rsid w:val="007A6B50"/>
    <w:rsid w:val="007A7143"/>
    <w:rsid w:val="007A728F"/>
    <w:rsid w:val="007A729B"/>
    <w:rsid w:val="007A7417"/>
    <w:rsid w:val="007A76DD"/>
    <w:rsid w:val="007A7758"/>
    <w:rsid w:val="007B0081"/>
    <w:rsid w:val="007B01EE"/>
    <w:rsid w:val="007B0F2C"/>
    <w:rsid w:val="007B1264"/>
    <w:rsid w:val="007B134B"/>
    <w:rsid w:val="007B1A0E"/>
    <w:rsid w:val="007B2C85"/>
    <w:rsid w:val="007B30BB"/>
    <w:rsid w:val="007B3C5E"/>
    <w:rsid w:val="007B3EC8"/>
    <w:rsid w:val="007B4543"/>
    <w:rsid w:val="007B4990"/>
    <w:rsid w:val="007B50C4"/>
    <w:rsid w:val="007B5226"/>
    <w:rsid w:val="007B55CB"/>
    <w:rsid w:val="007B586F"/>
    <w:rsid w:val="007B59D7"/>
    <w:rsid w:val="007B601D"/>
    <w:rsid w:val="007B6031"/>
    <w:rsid w:val="007B65C1"/>
    <w:rsid w:val="007B66D4"/>
    <w:rsid w:val="007B68C0"/>
    <w:rsid w:val="007B70E7"/>
    <w:rsid w:val="007B7252"/>
    <w:rsid w:val="007B7423"/>
    <w:rsid w:val="007B76DD"/>
    <w:rsid w:val="007B77AC"/>
    <w:rsid w:val="007B77B4"/>
    <w:rsid w:val="007B789B"/>
    <w:rsid w:val="007B7A1E"/>
    <w:rsid w:val="007B7B52"/>
    <w:rsid w:val="007C0091"/>
    <w:rsid w:val="007C0595"/>
    <w:rsid w:val="007C05A2"/>
    <w:rsid w:val="007C11CA"/>
    <w:rsid w:val="007C159E"/>
    <w:rsid w:val="007C1616"/>
    <w:rsid w:val="007C1720"/>
    <w:rsid w:val="007C194B"/>
    <w:rsid w:val="007C19B7"/>
    <w:rsid w:val="007C1B01"/>
    <w:rsid w:val="007C1F5E"/>
    <w:rsid w:val="007C20D8"/>
    <w:rsid w:val="007C23E1"/>
    <w:rsid w:val="007C288D"/>
    <w:rsid w:val="007C317E"/>
    <w:rsid w:val="007C3567"/>
    <w:rsid w:val="007C38E1"/>
    <w:rsid w:val="007C3A35"/>
    <w:rsid w:val="007C3B91"/>
    <w:rsid w:val="007C3E4F"/>
    <w:rsid w:val="007C406F"/>
    <w:rsid w:val="007C4F48"/>
    <w:rsid w:val="007C541E"/>
    <w:rsid w:val="007C5600"/>
    <w:rsid w:val="007C60DC"/>
    <w:rsid w:val="007C6132"/>
    <w:rsid w:val="007C66CE"/>
    <w:rsid w:val="007C70A8"/>
    <w:rsid w:val="007C762F"/>
    <w:rsid w:val="007C778B"/>
    <w:rsid w:val="007C798D"/>
    <w:rsid w:val="007C7E58"/>
    <w:rsid w:val="007D1028"/>
    <w:rsid w:val="007D10F7"/>
    <w:rsid w:val="007D1589"/>
    <w:rsid w:val="007D167B"/>
    <w:rsid w:val="007D1E35"/>
    <w:rsid w:val="007D25C8"/>
    <w:rsid w:val="007D2D22"/>
    <w:rsid w:val="007D3037"/>
    <w:rsid w:val="007D3D16"/>
    <w:rsid w:val="007D440E"/>
    <w:rsid w:val="007D4693"/>
    <w:rsid w:val="007D4AE0"/>
    <w:rsid w:val="007D4B25"/>
    <w:rsid w:val="007D4E77"/>
    <w:rsid w:val="007D4F86"/>
    <w:rsid w:val="007D609B"/>
    <w:rsid w:val="007D6157"/>
    <w:rsid w:val="007D6892"/>
    <w:rsid w:val="007D6E7D"/>
    <w:rsid w:val="007D7312"/>
    <w:rsid w:val="007D7A7A"/>
    <w:rsid w:val="007E021E"/>
    <w:rsid w:val="007E02B7"/>
    <w:rsid w:val="007E041C"/>
    <w:rsid w:val="007E0547"/>
    <w:rsid w:val="007E065F"/>
    <w:rsid w:val="007E0BD1"/>
    <w:rsid w:val="007E0C49"/>
    <w:rsid w:val="007E0C77"/>
    <w:rsid w:val="007E0D37"/>
    <w:rsid w:val="007E0DB2"/>
    <w:rsid w:val="007E10D1"/>
    <w:rsid w:val="007E11DB"/>
    <w:rsid w:val="007E12B8"/>
    <w:rsid w:val="007E1537"/>
    <w:rsid w:val="007E1922"/>
    <w:rsid w:val="007E1B90"/>
    <w:rsid w:val="007E244B"/>
    <w:rsid w:val="007E2530"/>
    <w:rsid w:val="007E2A71"/>
    <w:rsid w:val="007E3036"/>
    <w:rsid w:val="007E3179"/>
    <w:rsid w:val="007E38DF"/>
    <w:rsid w:val="007E41AB"/>
    <w:rsid w:val="007E440A"/>
    <w:rsid w:val="007E4787"/>
    <w:rsid w:val="007E4B63"/>
    <w:rsid w:val="007E4DEB"/>
    <w:rsid w:val="007E4E30"/>
    <w:rsid w:val="007E5445"/>
    <w:rsid w:val="007E54AF"/>
    <w:rsid w:val="007E6044"/>
    <w:rsid w:val="007E636E"/>
    <w:rsid w:val="007E671A"/>
    <w:rsid w:val="007E6828"/>
    <w:rsid w:val="007E715E"/>
    <w:rsid w:val="007E7D31"/>
    <w:rsid w:val="007E7EF7"/>
    <w:rsid w:val="007F0066"/>
    <w:rsid w:val="007F0436"/>
    <w:rsid w:val="007F0553"/>
    <w:rsid w:val="007F0FFA"/>
    <w:rsid w:val="007F1FDD"/>
    <w:rsid w:val="007F20B3"/>
    <w:rsid w:val="007F21EF"/>
    <w:rsid w:val="007F23B6"/>
    <w:rsid w:val="007F2751"/>
    <w:rsid w:val="007F2910"/>
    <w:rsid w:val="007F2EDB"/>
    <w:rsid w:val="007F3042"/>
    <w:rsid w:val="007F3058"/>
    <w:rsid w:val="007F3E15"/>
    <w:rsid w:val="007F4522"/>
    <w:rsid w:val="007F4706"/>
    <w:rsid w:val="007F4D41"/>
    <w:rsid w:val="007F4FBE"/>
    <w:rsid w:val="007F51D0"/>
    <w:rsid w:val="007F5752"/>
    <w:rsid w:val="007F59A8"/>
    <w:rsid w:val="007F6164"/>
    <w:rsid w:val="007F659B"/>
    <w:rsid w:val="007F67E3"/>
    <w:rsid w:val="007F69CD"/>
    <w:rsid w:val="007F6BD0"/>
    <w:rsid w:val="007F74FD"/>
    <w:rsid w:val="007F767A"/>
    <w:rsid w:val="007F773D"/>
    <w:rsid w:val="0080019B"/>
    <w:rsid w:val="0080029E"/>
    <w:rsid w:val="0080091D"/>
    <w:rsid w:val="00800C58"/>
    <w:rsid w:val="008014AF"/>
    <w:rsid w:val="008015ED"/>
    <w:rsid w:val="008016CE"/>
    <w:rsid w:val="008025BE"/>
    <w:rsid w:val="008029B3"/>
    <w:rsid w:val="00803355"/>
    <w:rsid w:val="0080378D"/>
    <w:rsid w:val="00803DA4"/>
    <w:rsid w:val="0080407A"/>
    <w:rsid w:val="00804181"/>
    <w:rsid w:val="008041CF"/>
    <w:rsid w:val="00804C4F"/>
    <w:rsid w:val="0080501C"/>
    <w:rsid w:val="00805047"/>
    <w:rsid w:val="008058C8"/>
    <w:rsid w:val="00805E7F"/>
    <w:rsid w:val="00806619"/>
    <w:rsid w:val="008067AD"/>
    <w:rsid w:val="00806962"/>
    <w:rsid w:val="00806C76"/>
    <w:rsid w:val="00806CFF"/>
    <w:rsid w:val="00806D1B"/>
    <w:rsid w:val="00807361"/>
    <w:rsid w:val="008076B2"/>
    <w:rsid w:val="00807B09"/>
    <w:rsid w:val="008104C6"/>
    <w:rsid w:val="008105A2"/>
    <w:rsid w:val="008109C0"/>
    <w:rsid w:val="00810A41"/>
    <w:rsid w:val="00811A2D"/>
    <w:rsid w:val="008124FF"/>
    <w:rsid w:val="00812B87"/>
    <w:rsid w:val="00812F12"/>
    <w:rsid w:val="00813050"/>
    <w:rsid w:val="00813078"/>
    <w:rsid w:val="008137DB"/>
    <w:rsid w:val="008143B1"/>
    <w:rsid w:val="0081457D"/>
    <w:rsid w:val="00814A89"/>
    <w:rsid w:val="0081527A"/>
    <w:rsid w:val="0081566C"/>
    <w:rsid w:val="00815CEB"/>
    <w:rsid w:val="00815F66"/>
    <w:rsid w:val="00816ADE"/>
    <w:rsid w:val="00816CAC"/>
    <w:rsid w:val="00816E22"/>
    <w:rsid w:val="00817264"/>
    <w:rsid w:val="008172FD"/>
    <w:rsid w:val="008175DC"/>
    <w:rsid w:val="00817832"/>
    <w:rsid w:val="00817B9C"/>
    <w:rsid w:val="00817D96"/>
    <w:rsid w:val="008203B3"/>
    <w:rsid w:val="00820486"/>
    <w:rsid w:val="00820901"/>
    <w:rsid w:val="00821209"/>
    <w:rsid w:val="0082129E"/>
    <w:rsid w:val="00822854"/>
    <w:rsid w:val="00822A8D"/>
    <w:rsid w:val="00822A91"/>
    <w:rsid w:val="0082339A"/>
    <w:rsid w:val="00823689"/>
    <w:rsid w:val="00823B54"/>
    <w:rsid w:val="00823EED"/>
    <w:rsid w:val="00823EFF"/>
    <w:rsid w:val="00824162"/>
    <w:rsid w:val="00824550"/>
    <w:rsid w:val="008248AD"/>
    <w:rsid w:val="00824BA0"/>
    <w:rsid w:val="00824F83"/>
    <w:rsid w:val="0082558A"/>
    <w:rsid w:val="008255CC"/>
    <w:rsid w:val="0082662C"/>
    <w:rsid w:val="00826C22"/>
    <w:rsid w:val="00826E3A"/>
    <w:rsid w:val="00826E89"/>
    <w:rsid w:val="00826F57"/>
    <w:rsid w:val="008273EA"/>
    <w:rsid w:val="00827670"/>
    <w:rsid w:val="008301DA"/>
    <w:rsid w:val="0083022C"/>
    <w:rsid w:val="00830503"/>
    <w:rsid w:val="00830A55"/>
    <w:rsid w:val="00830A69"/>
    <w:rsid w:val="00830D8E"/>
    <w:rsid w:val="00831197"/>
    <w:rsid w:val="008312F7"/>
    <w:rsid w:val="00831B9A"/>
    <w:rsid w:val="00831FEC"/>
    <w:rsid w:val="00832466"/>
    <w:rsid w:val="008331BD"/>
    <w:rsid w:val="008333DC"/>
    <w:rsid w:val="008334BB"/>
    <w:rsid w:val="00833786"/>
    <w:rsid w:val="00833E29"/>
    <w:rsid w:val="008346CE"/>
    <w:rsid w:val="00834D51"/>
    <w:rsid w:val="0083529D"/>
    <w:rsid w:val="0083535E"/>
    <w:rsid w:val="00835660"/>
    <w:rsid w:val="008357C3"/>
    <w:rsid w:val="00835A83"/>
    <w:rsid w:val="00835BA3"/>
    <w:rsid w:val="00835D89"/>
    <w:rsid w:val="00835EC8"/>
    <w:rsid w:val="0083632D"/>
    <w:rsid w:val="00836529"/>
    <w:rsid w:val="00836ABD"/>
    <w:rsid w:val="00836D3F"/>
    <w:rsid w:val="00836D64"/>
    <w:rsid w:val="00836FA6"/>
    <w:rsid w:val="0083705B"/>
    <w:rsid w:val="00837886"/>
    <w:rsid w:val="00841BE7"/>
    <w:rsid w:val="00841C65"/>
    <w:rsid w:val="00841D7F"/>
    <w:rsid w:val="00842275"/>
    <w:rsid w:val="00842C28"/>
    <w:rsid w:val="00843831"/>
    <w:rsid w:val="00843845"/>
    <w:rsid w:val="00843874"/>
    <w:rsid w:val="0084395C"/>
    <w:rsid w:val="00844081"/>
    <w:rsid w:val="00844187"/>
    <w:rsid w:val="0084418A"/>
    <w:rsid w:val="008442DF"/>
    <w:rsid w:val="0084447B"/>
    <w:rsid w:val="00844549"/>
    <w:rsid w:val="00844CBE"/>
    <w:rsid w:val="00845033"/>
    <w:rsid w:val="00845775"/>
    <w:rsid w:val="00845DEB"/>
    <w:rsid w:val="0084600B"/>
    <w:rsid w:val="00846D8E"/>
    <w:rsid w:val="00847625"/>
    <w:rsid w:val="00847C3B"/>
    <w:rsid w:val="00847CF8"/>
    <w:rsid w:val="00847E9B"/>
    <w:rsid w:val="00850084"/>
    <w:rsid w:val="00850A17"/>
    <w:rsid w:val="0085131C"/>
    <w:rsid w:val="0085153F"/>
    <w:rsid w:val="00851E2E"/>
    <w:rsid w:val="00851E45"/>
    <w:rsid w:val="00852638"/>
    <w:rsid w:val="008528F3"/>
    <w:rsid w:val="008530D1"/>
    <w:rsid w:val="008530FD"/>
    <w:rsid w:val="008535CE"/>
    <w:rsid w:val="00853BDB"/>
    <w:rsid w:val="00853E27"/>
    <w:rsid w:val="008541B1"/>
    <w:rsid w:val="0085428C"/>
    <w:rsid w:val="008542CA"/>
    <w:rsid w:val="008542F9"/>
    <w:rsid w:val="00854629"/>
    <w:rsid w:val="00854F12"/>
    <w:rsid w:val="00854FE1"/>
    <w:rsid w:val="0085500E"/>
    <w:rsid w:val="00855554"/>
    <w:rsid w:val="008561F2"/>
    <w:rsid w:val="00856374"/>
    <w:rsid w:val="00856542"/>
    <w:rsid w:val="008566D3"/>
    <w:rsid w:val="00856835"/>
    <w:rsid w:val="00856B78"/>
    <w:rsid w:val="00856B8A"/>
    <w:rsid w:val="00856D8C"/>
    <w:rsid w:val="00857129"/>
    <w:rsid w:val="00857169"/>
    <w:rsid w:val="008574DD"/>
    <w:rsid w:val="00857A92"/>
    <w:rsid w:val="00857D21"/>
    <w:rsid w:val="00857EE4"/>
    <w:rsid w:val="00860979"/>
    <w:rsid w:val="008609D6"/>
    <w:rsid w:val="00860F49"/>
    <w:rsid w:val="00861492"/>
    <w:rsid w:val="00861B77"/>
    <w:rsid w:val="00861C02"/>
    <w:rsid w:val="00861DF7"/>
    <w:rsid w:val="00861F42"/>
    <w:rsid w:val="00862A3C"/>
    <w:rsid w:val="00862D15"/>
    <w:rsid w:val="00863514"/>
    <w:rsid w:val="00863596"/>
    <w:rsid w:val="0086489E"/>
    <w:rsid w:val="0086492D"/>
    <w:rsid w:val="00864CA0"/>
    <w:rsid w:val="00864E95"/>
    <w:rsid w:val="00864FD0"/>
    <w:rsid w:val="008650CD"/>
    <w:rsid w:val="008650FD"/>
    <w:rsid w:val="0086527C"/>
    <w:rsid w:val="008658D8"/>
    <w:rsid w:val="0086662A"/>
    <w:rsid w:val="00866794"/>
    <w:rsid w:val="00866EAB"/>
    <w:rsid w:val="00867CDA"/>
    <w:rsid w:val="00867E6E"/>
    <w:rsid w:val="00867FDC"/>
    <w:rsid w:val="008700F2"/>
    <w:rsid w:val="00870543"/>
    <w:rsid w:val="0087098D"/>
    <w:rsid w:val="008709AD"/>
    <w:rsid w:val="008716D2"/>
    <w:rsid w:val="0087174A"/>
    <w:rsid w:val="00871863"/>
    <w:rsid w:val="00871F8D"/>
    <w:rsid w:val="00871FC4"/>
    <w:rsid w:val="00873361"/>
    <w:rsid w:val="008738FD"/>
    <w:rsid w:val="00873BCE"/>
    <w:rsid w:val="008740FE"/>
    <w:rsid w:val="008748D0"/>
    <w:rsid w:val="008755D3"/>
    <w:rsid w:val="008755E4"/>
    <w:rsid w:val="0087593E"/>
    <w:rsid w:val="00875B0E"/>
    <w:rsid w:val="008761BA"/>
    <w:rsid w:val="00876D15"/>
    <w:rsid w:val="00876DF1"/>
    <w:rsid w:val="00876E92"/>
    <w:rsid w:val="00877467"/>
    <w:rsid w:val="008776F9"/>
    <w:rsid w:val="00877B2D"/>
    <w:rsid w:val="0088003D"/>
    <w:rsid w:val="0088035A"/>
    <w:rsid w:val="00880753"/>
    <w:rsid w:val="00880C6E"/>
    <w:rsid w:val="00880D32"/>
    <w:rsid w:val="00881033"/>
    <w:rsid w:val="0088161C"/>
    <w:rsid w:val="00881875"/>
    <w:rsid w:val="00882017"/>
    <w:rsid w:val="008828EE"/>
    <w:rsid w:val="00882967"/>
    <w:rsid w:val="00882F27"/>
    <w:rsid w:val="00883213"/>
    <w:rsid w:val="0088376C"/>
    <w:rsid w:val="0088389F"/>
    <w:rsid w:val="00883ECB"/>
    <w:rsid w:val="008845F2"/>
    <w:rsid w:val="00884FB6"/>
    <w:rsid w:val="00885A37"/>
    <w:rsid w:val="0088614A"/>
    <w:rsid w:val="00886419"/>
    <w:rsid w:val="00886435"/>
    <w:rsid w:val="00886A4D"/>
    <w:rsid w:val="00886B63"/>
    <w:rsid w:val="00886F45"/>
    <w:rsid w:val="008874F1"/>
    <w:rsid w:val="0088752C"/>
    <w:rsid w:val="00887EB1"/>
    <w:rsid w:val="00887F8D"/>
    <w:rsid w:val="0089071B"/>
    <w:rsid w:val="00890E9D"/>
    <w:rsid w:val="00891175"/>
    <w:rsid w:val="008914EE"/>
    <w:rsid w:val="008918A4"/>
    <w:rsid w:val="008918BB"/>
    <w:rsid w:val="00891C40"/>
    <w:rsid w:val="0089201C"/>
    <w:rsid w:val="008922B5"/>
    <w:rsid w:val="00892656"/>
    <w:rsid w:val="00892688"/>
    <w:rsid w:val="00892919"/>
    <w:rsid w:val="00892EBD"/>
    <w:rsid w:val="00893124"/>
    <w:rsid w:val="0089316E"/>
    <w:rsid w:val="008933A7"/>
    <w:rsid w:val="0089396C"/>
    <w:rsid w:val="00893CEE"/>
    <w:rsid w:val="00893D0A"/>
    <w:rsid w:val="00894255"/>
    <w:rsid w:val="0089442F"/>
    <w:rsid w:val="00894C10"/>
    <w:rsid w:val="00895197"/>
    <w:rsid w:val="00895279"/>
    <w:rsid w:val="00895388"/>
    <w:rsid w:val="00895DA1"/>
    <w:rsid w:val="0089636F"/>
    <w:rsid w:val="008964B8"/>
    <w:rsid w:val="0089657F"/>
    <w:rsid w:val="008972DF"/>
    <w:rsid w:val="008975AE"/>
    <w:rsid w:val="008976B4"/>
    <w:rsid w:val="008976CA"/>
    <w:rsid w:val="00897829"/>
    <w:rsid w:val="00897945"/>
    <w:rsid w:val="00897A14"/>
    <w:rsid w:val="00897AFC"/>
    <w:rsid w:val="008A00F4"/>
    <w:rsid w:val="008A024B"/>
    <w:rsid w:val="008A0781"/>
    <w:rsid w:val="008A0EBB"/>
    <w:rsid w:val="008A1270"/>
    <w:rsid w:val="008A15F2"/>
    <w:rsid w:val="008A1951"/>
    <w:rsid w:val="008A19E2"/>
    <w:rsid w:val="008A1F5E"/>
    <w:rsid w:val="008A1FE6"/>
    <w:rsid w:val="008A22DA"/>
    <w:rsid w:val="008A2323"/>
    <w:rsid w:val="008A252A"/>
    <w:rsid w:val="008A2535"/>
    <w:rsid w:val="008A2982"/>
    <w:rsid w:val="008A2B34"/>
    <w:rsid w:val="008A2B52"/>
    <w:rsid w:val="008A333C"/>
    <w:rsid w:val="008A3401"/>
    <w:rsid w:val="008A3947"/>
    <w:rsid w:val="008A399C"/>
    <w:rsid w:val="008A4CA8"/>
    <w:rsid w:val="008A52A4"/>
    <w:rsid w:val="008A585A"/>
    <w:rsid w:val="008A5BC9"/>
    <w:rsid w:val="008A62FA"/>
    <w:rsid w:val="008A63F6"/>
    <w:rsid w:val="008A646C"/>
    <w:rsid w:val="008A6818"/>
    <w:rsid w:val="008A6A4B"/>
    <w:rsid w:val="008A704B"/>
    <w:rsid w:val="008B0099"/>
    <w:rsid w:val="008B0544"/>
    <w:rsid w:val="008B06B0"/>
    <w:rsid w:val="008B08B0"/>
    <w:rsid w:val="008B0CF0"/>
    <w:rsid w:val="008B104E"/>
    <w:rsid w:val="008B13B1"/>
    <w:rsid w:val="008B15FE"/>
    <w:rsid w:val="008B181F"/>
    <w:rsid w:val="008B1AE7"/>
    <w:rsid w:val="008B1AEF"/>
    <w:rsid w:val="008B1B9C"/>
    <w:rsid w:val="008B20B2"/>
    <w:rsid w:val="008B2CCA"/>
    <w:rsid w:val="008B2E1C"/>
    <w:rsid w:val="008B34C6"/>
    <w:rsid w:val="008B3951"/>
    <w:rsid w:val="008B3AFF"/>
    <w:rsid w:val="008B3B81"/>
    <w:rsid w:val="008B3CCC"/>
    <w:rsid w:val="008B40D2"/>
    <w:rsid w:val="008B4F42"/>
    <w:rsid w:val="008B53AB"/>
    <w:rsid w:val="008B5975"/>
    <w:rsid w:val="008B5B53"/>
    <w:rsid w:val="008B622F"/>
    <w:rsid w:val="008B649A"/>
    <w:rsid w:val="008B718A"/>
    <w:rsid w:val="008B7596"/>
    <w:rsid w:val="008B7934"/>
    <w:rsid w:val="008B7BDA"/>
    <w:rsid w:val="008B7D19"/>
    <w:rsid w:val="008B7F43"/>
    <w:rsid w:val="008C00F0"/>
    <w:rsid w:val="008C013C"/>
    <w:rsid w:val="008C0597"/>
    <w:rsid w:val="008C0754"/>
    <w:rsid w:val="008C0DCF"/>
    <w:rsid w:val="008C15A6"/>
    <w:rsid w:val="008C1EC6"/>
    <w:rsid w:val="008C2232"/>
    <w:rsid w:val="008C2DA7"/>
    <w:rsid w:val="008C3CBC"/>
    <w:rsid w:val="008C40D3"/>
    <w:rsid w:val="008C4DC0"/>
    <w:rsid w:val="008C52D7"/>
    <w:rsid w:val="008C56B7"/>
    <w:rsid w:val="008C5FC5"/>
    <w:rsid w:val="008C64D6"/>
    <w:rsid w:val="008C6503"/>
    <w:rsid w:val="008C68C2"/>
    <w:rsid w:val="008C6F6B"/>
    <w:rsid w:val="008C7707"/>
    <w:rsid w:val="008C79B6"/>
    <w:rsid w:val="008C7E9D"/>
    <w:rsid w:val="008D06BD"/>
    <w:rsid w:val="008D083D"/>
    <w:rsid w:val="008D0E4E"/>
    <w:rsid w:val="008D0F00"/>
    <w:rsid w:val="008D1306"/>
    <w:rsid w:val="008D146C"/>
    <w:rsid w:val="008D1B5E"/>
    <w:rsid w:val="008D1C8F"/>
    <w:rsid w:val="008D1D43"/>
    <w:rsid w:val="008D1F11"/>
    <w:rsid w:val="008D2118"/>
    <w:rsid w:val="008D2739"/>
    <w:rsid w:val="008D2AE0"/>
    <w:rsid w:val="008D2D99"/>
    <w:rsid w:val="008D2E29"/>
    <w:rsid w:val="008D30E1"/>
    <w:rsid w:val="008D38ED"/>
    <w:rsid w:val="008D3B22"/>
    <w:rsid w:val="008D3CD9"/>
    <w:rsid w:val="008D3FFD"/>
    <w:rsid w:val="008D4296"/>
    <w:rsid w:val="008D47D9"/>
    <w:rsid w:val="008D4A91"/>
    <w:rsid w:val="008D4C40"/>
    <w:rsid w:val="008D4DE8"/>
    <w:rsid w:val="008D5CEE"/>
    <w:rsid w:val="008D5F86"/>
    <w:rsid w:val="008D603F"/>
    <w:rsid w:val="008D708F"/>
    <w:rsid w:val="008D78E6"/>
    <w:rsid w:val="008D79AE"/>
    <w:rsid w:val="008D7F33"/>
    <w:rsid w:val="008E04EF"/>
    <w:rsid w:val="008E0562"/>
    <w:rsid w:val="008E07D9"/>
    <w:rsid w:val="008E08D6"/>
    <w:rsid w:val="008E0E92"/>
    <w:rsid w:val="008E1527"/>
    <w:rsid w:val="008E1C8B"/>
    <w:rsid w:val="008E22D0"/>
    <w:rsid w:val="008E23AA"/>
    <w:rsid w:val="008E2800"/>
    <w:rsid w:val="008E348E"/>
    <w:rsid w:val="008E3FFE"/>
    <w:rsid w:val="008E4191"/>
    <w:rsid w:val="008E496D"/>
    <w:rsid w:val="008E498E"/>
    <w:rsid w:val="008E4CEE"/>
    <w:rsid w:val="008E4E44"/>
    <w:rsid w:val="008E5474"/>
    <w:rsid w:val="008E54F5"/>
    <w:rsid w:val="008E5C35"/>
    <w:rsid w:val="008E5F12"/>
    <w:rsid w:val="008E62CB"/>
    <w:rsid w:val="008E6354"/>
    <w:rsid w:val="008E67FC"/>
    <w:rsid w:val="008E6C3C"/>
    <w:rsid w:val="008E6D19"/>
    <w:rsid w:val="008E6F61"/>
    <w:rsid w:val="008E7236"/>
    <w:rsid w:val="008E76ED"/>
    <w:rsid w:val="008F00E1"/>
    <w:rsid w:val="008F0319"/>
    <w:rsid w:val="008F0B17"/>
    <w:rsid w:val="008F0BB5"/>
    <w:rsid w:val="008F0BE1"/>
    <w:rsid w:val="008F0EE3"/>
    <w:rsid w:val="008F14D6"/>
    <w:rsid w:val="008F17B2"/>
    <w:rsid w:val="008F1879"/>
    <w:rsid w:val="008F1AE6"/>
    <w:rsid w:val="008F2A7F"/>
    <w:rsid w:val="008F2C03"/>
    <w:rsid w:val="008F348D"/>
    <w:rsid w:val="008F36CA"/>
    <w:rsid w:val="008F3B1E"/>
    <w:rsid w:val="008F3B46"/>
    <w:rsid w:val="008F3B70"/>
    <w:rsid w:val="008F3BA4"/>
    <w:rsid w:val="008F3CC3"/>
    <w:rsid w:val="008F3EEE"/>
    <w:rsid w:val="008F3F54"/>
    <w:rsid w:val="008F4186"/>
    <w:rsid w:val="008F47E0"/>
    <w:rsid w:val="008F49A7"/>
    <w:rsid w:val="008F5081"/>
    <w:rsid w:val="008F5488"/>
    <w:rsid w:val="008F56EC"/>
    <w:rsid w:val="008F56F7"/>
    <w:rsid w:val="008F57B6"/>
    <w:rsid w:val="008F58E4"/>
    <w:rsid w:val="008F5D71"/>
    <w:rsid w:val="008F67FA"/>
    <w:rsid w:val="008F692C"/>
    <w:rsid w:val="008F6DC5"/>
    <w:rsid w:val="0090056D"/>
    <w:rsid w:val="00900969"/>
    <w:rsid w:val="00900A15"/>
    <w:rsid w:val="00900C83"/>
    <w:rsid w:val="00900E33"/>
    <w:rsid w:val="00900F40"/>
    <w:rsid w:val="009012C7"/>
    <w:rsid w:val="009013BF"/>
    <w:rsid w:val="009015E0"/>
    <w:rsid w:val="009016AD"/>
    <w:rsid w:val="009018F3"/>
    <w:rsid w:val="00901A49"/>
    <w:rsid w:val="00901CB4"/>
    <w:rsid w:val="00901CC3"/>
    <w:rsid w:val="009021CD"/>
    <w:rsid w:val="009028FE"/>
    <w:rsid w:val="00902EE0"/>
    <w:rsid w:val="009030C7"/>
    <w:rsid w:val="009032CA"/>
    <w:rsid w:val="009033C6"/>
    <w:rsid w:val="00903649"/>
    <w:rsid w:val="009037D7"/>
    <w:rsid w:val="00903EAE"/>
    <w:rsid w:val="009043BF"/>
    <w:rsid w:val="009043E4"/>
    <w:rsid w:val="0090440C"/>
    <w:rsid w:val="009046D6"/>
    <w:rsid w:val="009049FE"/>
    <w:rsid w:val="0090625A"/>
    <w:rsid w:val="0090668A"/>
    <w:rsid w:val="009066F7"/>
    <w:rsid w:val="00906C8F"/>
    <w:rsid w:val="00906CEF"/>
    <w:rsid w:val="009071B5"/>
    <w:rsid w:val="00907506"/>
    <w:rsid w:val="00907AF3"/>
    <w:rsid w:val="00907F8C"/>
    <w:rsid w:val="009100D9"/>
    <w:rsid w:val="009107B3"/>
    <w:rsid w:val="00910BC0"/>
    <w:rsid w:val="00910C3B"/>
    <w:rsid w:val="00910EAB"/>
    <w:rsid w:val="0091109E"/>
    <w:rsid w:val="009110CF"/>
    <w:rsid w:val="00911276"/>
    <w:rsid w:val="0091128B"/>
    <w:rsid w:val="009115D6"/>
    <w:rsid w:val="0091160F"/>
    <w:rsid w:val="009118D3"/>
    <w:rsid w:val="009125E0"/>
    <w:rsid w:val="00913085"/>
    <w:rsid w:val="009130B8"/>
    <w:rsid w:val="0091336D"/>
    <w:rsid w:val="00913FBB"/>
    <w:rsid w:val="0091415A"/>
    <w:rsid w:val="009147B0"/>
    <w:rsid w:val="00914881"/>
    <w:rsid w:val="00914B50"/>
    <w:rsid w:val="00914B7C"/>
    <w:rsid w:val="00914FDB"/>
    <w:rsid w:val="0091521D"/>
    <w:rsid w:val="009154E9"/>
    <w:rsid w:val="00915AF4"/>
    <w:rsid w:val="009164CC"/>
    <w:rsid w:val="009165F6"/>
    <w:rsid w:val="00916811"/>
    <w:rsid w:val="00916E2A"/>
    <w:rsid w:val="00916E77"/>
    <w:rsid w:val="0091758E"/>
    <w:rsid w:val="00917BAF"/>
    <w:rsid w:val="00917BBF"/>
    <w:rsid w:val="00917D0D"/>
    <w:rsid w:val="00920159"/>
    <w:rsid w:val="00920841"/>
    <w:rsid w:val="00920FA8"/>
    <w:rsid w:val="00921024"/>
    <w:rsid w:val="00921095"/>
    <w:rsid w:val="00921141"/>
    <w:rsid w:val="00921382"/>
    <w:rsid w:val="0092140F"/>
    <w:rsid w:val="00921830"/>
    <w:rsid w:val="00921E71"/>
    <w:rsid w:val="009222EB"/>
    <w:rsid w:val="0092257B"/>
    <w:rsid w:val="00922FC7"/>
    <w:rsid w:val="009233DB"/>
    <w:rsid w:val="00923487"/>
    <w:rsid w:val="009234B2"/>
    <w:rsid w:val="00923745"/>
    <w:rsid w:val="0092380D"/>
    <w:rsid w:val="009239D1"/>
    <w:rsid w:val="00923A0B"/>
    <w:rsid w:val="00923AC2"/>
    <w:rsid w:val="00923CEB"/>
    <w:rsid w:val="009243D3"/>
    <w:rsid w:val="0092462C"/>
    <w:rsid w:val="00924AB8"/>
    <w:rsid w:val="00924B0F"/>
    <w:rsid w:val="00924D7F"/>
    <w:rsid w:val="00924D97"/>
    <w:rsid w:val="0092547B"/>
    <w:rsid w:val="0092568C"/>
    <w:rsid w:val="00925953"/>
    <w:rsid w:val="00925A28"/>
    <w:rsid w:val="00925AF1"/>
    <w:rsid w:val="00926414"/>
    <w:rsid w:val="00926469"/>
    <w:rsid w:val="00926919"/>
    <w:rsid w:val="009269D8"/>
    <w:rsid w:val="00926E92"/>
    <w:rsid w:val="00927231"/>
    <w:rsid w:val="00927649"/>
    <w:rsid w:val="009278E4"/>
    <w:rsid w:val="009279C3"/>
    <w:rsid w:val="00927ED2"/>
    <w:rsid w:val="009300F5"/>
    <w:rsid w:val="0093040A"/>
    <w:rsid w:val="00930F01"/>
    <w:rsid w:val="00931962"/>
    <w:rsid w:val="009319B6"/>
    <w:rsid w:val="00931A33"/>
    <w:rsid w:val="00931EE8"/>
    <w:rsid w:val="0093216A"/>
    <w:rsid w:val="0093248C"/>
    <w:rsid w:val="00932787"/>
    <w:rsid w:val="0093295E"/>
    <w:rsid w:val="00932B99"/>
    <w:rsid w:val="009331AE"/>
    <w:rsid w:val="009332C5"/>
    <w:rsid w:val="009335AC"/>
    <w:rsid w:val="00933CD1"/>
    <w:rsid w:val="00933E3D"/>
    <w:rsid w:val="009343BA"/>
    <w:rsid w:val="00934B6D"/>
    <w:rsid w:val="00934EC8"/>
    <w:rsid w:val="00934FE5"/>
    <w:rsid w:val="00935394"/>
    <w:rsid w:val="00935513"/>
    <w:rsid w:val="009358C3"/>
    <w:rsid w:val="00935CAF"/>
    <w:rsid w:val="00935D05"/>
    <w:rsid w:val="00935E10"/>
    <w:rsid w:val="00935F61"/>
    <w:rsid w:val="0093613B"/>
    <w:rsid w:val="009361C3"/>
    <w:rsid w:val="009365AC"/>
    <w:rsid w:val="0093681E"/>
    <w:rsid w:val="00936E62"/>
    <w:rsid w:val="009372F6"/>
    <w:rsid w:val="00940235"/>
    <w:rsid w:val="00940725"/>
    <w:rsid w:val="009407D0"/>
    <w:rsid w:val="00940E2C"/>
    <w:rsid w:val="00941132"/>
    <w:rsid w:val="0094114B"/>
    <w:rsid w:val="00941BD5"/>
    <w:rsid w:val="0094205F"/>
    <w:rsid w:val="0094239C"/>
    <w:rsid w:val="0094268A"/>
    <w:rsid w:val="00942887"/>
    <w:rsid w:val="00942F8B"/>
    <w:rsid w:val="00943403"/>
    <w:rsid w:val="00943427"/>
    <w:rsid w:val="009438A1"/>
    <w:rsid w:val="00943CA0"/>
    <w:rsid w:val="009441A8"/>
    <w:rsid w:val="0094426F"/>
    <w:rsid w:val="00944279"/>
    <w:rsid w:val="009444A4"/>
    <w:rsid w:val="00944611"/>
    <w:rsid w:val="00944F7F"/>
    <w:rsid w:val="0094528C"/>
    <w:rsid w:val="0094532E"/>
    <w:rsid w:val="009453E7"/>
    <w:rsid w:val="00945939"/>
    <w:rsid w:val="00945CFB"/>
    <w:rsid w:val="00945CFD"/>
    <w:rsid w:val="009460DA"/>
    <w:rsid w:val="00946425"/>
    <w:rsid w:val="009470EB"/>
    <w:rsid w:val="0094734F"/>
    <w:rsid w:val="0094756E"/>
    <w:rsid w:val="0094796B"/>
    <w:rsid w:val="009479F1"/>
    <w:rsid w:val="00947B23"/>
    <w:rsid w:val="009508DC"/>
    <w:rsid w:val="009514ED"/>
    <w:rsid w:val="00951961"/>
    <w:rsid w:val="00951AEA"/>
    <w:rsid w:val="00951EFA"/>
    <w:rsid w:val="009521C9"/>
    <w:rsid w:val="00952AC7"/>
    <w:rsid w:val="00952DDA"/>
    <w:rsid w:val="00953E97"/>
    <w:rsid w:val="00954319"/>
    <w:rsid w:val="00954B3A"/>
    <w:rsid w:val="00955B25"/>
    <w:rsid w:val="00955B6B"/>
    <w:rsid w:val="009566C0"/>
    <w:rsid w:val="009566CD"/>
    <w:rsid w:val="00956ACF"/>
    <w:rsid w:val="00956E82"/>
    <w:rsid w:val="0095753E"/>
    <w:rsid w:val="00957A1C"/>
    <w:rsid w:val="00960A26"/>
    <w:rsid w:val="00960E39"/>
    <w:rsid w:val="00961074"/>
    <w:rsid w:val="009615EA"/>
    <w:rsid w:val="009616F3"/>
    <w:rsid w:val="0096179D"/>
    <w:rsid w:val="009618DF"/>
    <w:rsid w:val="00962A34"/>
    <w:rsid w:val="00962B90"/>
    <w:rsid w:val="009636EB"/>
    <w:rsid w:val="009639AC"/>
    <w:rsid w:val="00963A41"/>
    <w:rsid w:val="00963AA5"/>
    <w:rsid w:val="009646BA"/>
    <w:rsid w:val="00964AE0"/>
    <w:rsid w:val="00965AB7"/>
    <w:rsid w:val="00965AC6"/>
    <w:rsid w:val="009661FC"/>
    <w:rsid w:val="00966393"/>
    <w:rsid w:val="009663E2"/>
    <w:rsid w:val="009670B5"/>
    <w:rsid w:val="0096737B"/>
    <w:rsid w:val="009673AC"/>
    <w:rsid w:val="009673E7"/>
    <w:rsid w:val="00967444"/>
    <w:rsid w:val="0096791E"/>
    <w:rsid w:val="0097043A"/>
    <w:rsid w:val="00970D25"/>
    <w:rsid w:val="00970DA3"/>
    <w:rsid w:val="00970E4A"/>
    <w:rsid w:val="009713CF"/>
    <w:rsid w:val="009715FC"/>
    <w:rsid w:val="00971ACB"/>
    <w:rsid w:val="00971D07"/>
    <w:rsid w:val="00972276"/>
    <w:rsid w:val="0097229D"/>
    <w:rsid w:val="009722F8"/>
    <w:rsid w:val="00972654"/>
    <w:rsid w:val="009726B6"/>
    <w:rsid w:val="00972961"/>
    <w:rsid w:val="00972A52"/>
    <w:rsid w:val="00972D55"/>
    <w:rsid w:val="009736BC"/>
    <w:rsid w:val="00973F9B"/>
    <w:rsid w:val="00974401"/>
    <w:rsid w:val="0097458E"/>
    <w:rsid w:val="0097490B"/>
    <w:rsid w:val="0097518C"/>
    <w:rsid w:val="0097527B"/>
    <w:rsid w:val="00975327"/>
    <w:rsid w:val="00975BF2"/>
    <w:rsid w:val="00975BFC"/>
    <w:rsid w:val="0097643D"/>
    <w:rsid w:val="0097671C"/>
    <w:rsid w:val="00976EFA"/>
    <w:rsid w:val="00977194"/>
    <w:rsid w:val="0097719B"/>
    <w:rsid w:val="00977335"/>
    <w:rsid w:val="0098005B"/>
    <w:rsid w:val="009802C2"/>
    <w:rsid w:val="00980A82"/>
    <w:rsid w:val="00980FA4"/>
    <w:rsid w:val="00981076"/>
    <w:rsid w:val="0098125E"/>
    <w:rsid w:val="00981DC4"/>
    <w:rsid w:val="00982075"/>
    <w:rsid w:val="00982407"/>
    <w:rsid w:val="00982638"/>
    <w:rsid w:val="00982DB1"/>
    <w:rsid w:val="00982FC1"/>
    <w:rsid w:val="00983121"/>
    <w:rsid w:val="0098348B"/>
    <w:rsid w:val="00983629"/>
    <w:rsid w:val="00983F4E"/>
    <w:rsid w:val="00984269"/>
    <w:rsid w:val="0098441F"/>
    <w:rsid w:val="00984BDA"/>
    <w:rsid w:val="009854BD"/>
    <w:rsid w:val="009855DE"/>
    <w:rsid w:val="009857E8"/>
    <w:rsid w:val="00986192"/>
    <w:rsid w:val="009865D7"/>
    <w:rsid w:val="00986C32"/>
    <w:rsid w:val="009872F3"/>
    <w:rsid w:val="0098757A"/>
    <w:rsid w:val="00987979"/>
    <w:rsid w:val="00987AAE"/>
    <w:rsid w:val="0099000B"/>
    <w:rsid w:val="009902A1"/>
    <w:rsid w:val="009903B0"/>
    <w:rsid w:val="00990663"/>
    <w:rsid w:val="00990686"/>
    <w:rsid w:val="00990AC7"/>
    <w:rsid w:val="009911D5"/>
    <w:rsid w:val="009913FD"/>
    <w:rsid w:val="00992B8B"/>
    <w:rsid w:val="009936A5"/>
    <w:rsid w:val="00993A63"/>
    <w:rsid w:val="00993B0C"/>
    <w:rsid w:val="009943FF"/>
    <w:rsid w:val="00994503"/>
    <w:rsid w:val="00994A2E"/>
    <w:rsid w:val="00994AF8"/>
    <w:rsid w:val="00994CA0"/>
    <w:rsid w:val="00994E51"/>
    <w:rsid w:val="00994EEF"/>
    <w:rsid w:val="00995081"/>
    <w:rsid w:val="009956C2"/>
    <w:rsid w:val="0099582C"/>
    <w:rsid w:val="009959BA"/>
    <w:rsid w:val="00995A48"/>
    <w:rsid w:val="00995DB6"/>
    <w:rsid w:val="009960E6"/>
    <w:rsid w:val="00996239"/>
    <w:rsid w:val="0099668D"/>
    <w:rsid w:val="00996B2C"/>
    <w:rsid w:val="00996F5F"/>
    <w:rsid w:val="0099786D"/>
    <w:rsid w:val="0099789F"/>
    <w:rsid w:val="009A022B"/>
    <w:rsid w:val="009A04DA"/>
    <w:rsid w:val="009A0A16"/>
    <w:rsid w:val="009A0FCB"/>
    <w:rsid w:val="009A1E78"/>
    <w:rsid w:val="009A2066"/>
    <w:rsid w:val="009A2488"/>
    <w:rsid w:val="009A24A9"/>
    <w:rsid w:val="009A25DE"/>
    <w:rsid w:val="009A2637"/>
    <w:rsid w:val="009A3C32"/>
    <w:rsid w:val="009A4288"/>
    <w:rsid w:val="009A445A"/>
    <w:rsid w:val="009A4C22"/>
    <w:rsid w:val="009A4C8A"/>
    <w:rsid w:val="009A4D46"/>
    <w:rsid w:val="009A4EFA"/>
    <w:rsid w:val="009A52C8"/>
    <w:rsid w:val="009A5C50"/>
    <w:rsid w:val="009A5DBC"/>
    <w:rsid w:val="009A656E"/>
    <w:rsid w:val="009A67E0"/>
    <w:rsid w:val="009A6945"/>
    <w:rsid w:val="009A6AE6"/>
    <w:rsid w:val="009A7801"/>
    <w:rsid w:val="009A78FA"/>
    <w:rsid w:val="009A7BB7"/>
    <w:rsid w:val="009A7CB2"/>
    <w:rsid w:val="009B04CF"/>
    <w:rsid w:val="009B0775"/>
    <w:rsid w:val="009B08D4"/>
    <w:rsid w:val="009B09B1"/>
    <w:rsid w:val="009B0A36"/>
    <w:rsid w:val="009B12B2"/>
    <w:rsid w:val="009B1515"/>
    <w:rsid w:val="009B158D"/>
    <w:rsid w:val="009B1B94"/>
    <w:rsid w:val="009B2783"/>
    <w:rsid w:val="009B27F2"/>
    <w:rsid w:val="009B2D37"/>
    <w:rsid w:val="009B33F5"/>
    <w:rsid w:val="009B4098"/>
    <w:rsid w:val="009B41F4"/>
    <w:rsid w:val="009B523F"/>
    <w:rsid w:val="009B5357"/>
    <w:rsid w:val="009B60FA"/>
    <w:rsid w:val="009B61C9"/>
    <w:rsid w:val="009B6417"/>
    <w:rsid w:val="009B6A7D"/>
    <w:rsid w:val="009B6E34"/>
    <w:rsid w:val="009B70E6"/>
    <w:rsid w:val="009B7575"/>
    <w:rsid w:val="009C023D"/>
    <w:rsid w:val="009C03B6"/>
    <w:rsid w:val="009C15D7"/>
    <w:rsid w:val="009C1A15"/>
    <w:rsid w:val="009C23F8"/>
    <w:rsid w:val="009C26E1"/>
    <w:rsid w:val="009C272A"/>
    <w:rsid w:val="009C286E"/>
    <w:rsid w:val="009C2D15"/>
    <w:rsid w:val="009C2E50"/>
    <w:rsid w:val="009C36CF"/>
    <w:rsid w:val="009C38B8"/>
    <w:rsid w:val="009C3B43"/>
    <w:rsid w:val="009C3DF2"/>
    <w:rsid w:val="009C4280"/>
    <w:rsid w:val="009C4F65"/>
    <w:rsid w:val="009C5514"/>
    <w:rsid w:val="009C55AF"/>
    <w:rsid w:val="009C5D36"/>
    <w:rsid w:val="009C60AB"/>
    <w:rsid w:val="009C60DB"/>
    <w:rsid w:val="009C6654"/>
    <w:rsid w:val="009C66B9"/>
    <w:rsid w:val="009C6B20"/>
    <w:rsid w:val="009C6EC6"/>
    <w:rsid w:val="009C7AE9"/>
    <w:rsid w:val="009C7D36"/>
    <w:rsid w:val="009D0144"/>
    <w:rsid w:val="009D0442"/>
    <w:rsid w:val="009D13C2"/>
    <w:rsid w:val="009D14E2"/>
    <w:rsid w:val="009D18E0"/>
    <w:rsid w:val="009D1921"/>
    <w:rsid w:val="009D3120"/>
    <w:rsid w:val="009D3298"/>
    <w:rsid w:val="009D3BB1"/>
    <w:rsid w:val="009D3CE3"/>
    <w:rsid w:val="009D3EA6"/>
    <w:rsid w:val="009D3FE3"/>
    <w:rsid w:val="009D43E3"/>
    <w:rsid w:val="009D4CDC"/>
    <w:rsid w:val="009D4DF3"/>
    <w:rsid w:val="009D50B7"/>
    <w:rsid w:val="009D5254"/>
    <w:rsid w:val="009D6125"/>
    <w:rsid w:val="009D6B9E"/>
    <w:rsid w:val="009D6CA6"/>
    <w:rsid w:val="009D6D26"/>
    <w:rsid w:val="009D76F0"/>
    <w:rsid w:val="009D7BA9"/>
    <w:rsid w:val="009D7C10"/>
    <w:rsid w:val="009E004D"/>
    <w:rsid w:val="009E0287"/>
    <w:rsid w:val="009E03F5"/>
    <w:rsid w:val="009E045D"/>
    <w:rsid w:val="009E07F1"/>
    <w:rsid w:val="009E0905"/>
    <w:rsid w:val="009E09F2"/>
    <w:rsid w:val="009E0BA2"/>
    <w:rsid w:val="009E0D8E"/>
    <w:rsid w:val="009E1CF7"/>
    <w:rsid w:val="009E1EE4"/>
    <w:rsid w:val="009E2AE6"/>
    <w:rsid w:val="009E2E24"/>
    <w:rsid w:val="009E31C5"/>
    <w:rsid w:val="009E325E"/>
    <w:rsid w:val="009E3FF3"/>
    <w:rsid w:val="009E433A"/>
    <w:rsid w:val="009E4A7D"/>
    <w:rsid w:val="009E4BEC"/>
    <w:rsid w:val="009E516E"/>
    <w:rsid w:val="009E5226"/>
    <w:rsid w:val="009E5B8A"/>
    <w:rsid w:val="009E5DDB"/>
    <w:rsid w:val="009E5DE7"/>
    <w:rsid w:val="009E671E"/>
    <w:rsid w:val="009E6D0E"/>
    <w:rsid w:val="009E7690"/>
    <w:rsid w:val="009E7784"/>
    <w:rsid w:val="009E7C31"/>
    <w:rsid w:val="009F0837"/>
    <w:rsid w:val="009F1C2E"/>
    <w:rsid w:val="009F256C"/>
    <w:rsid w:val="009F25D3"/>
    <w:rsid w:val="009F2E15"/>
    <w:rsid w:val="009F3107"/>
    <w:rsid w:val="009F3C50"/>
    <w:rsid w:val="009F42D1"/>
    <w:rsid w:val="009F45AE"/>
    <w:rsid w:val="009F4C72"/>
    <w:rsid w:val="009F4EE9"/>
    <w:rsid w:val="009F52F4"/>
    <w:rsid w:val="009F557C"/>
    <w:rsid w:val="009F5754"/>
    <w:rsid w:val="009F5E45"/>
    <w:rsid w:val="009F6258"/>
    <w:rsid w:val="009F625C"/>
    <w:rsid w:val="009F64C9"/>
    <w:rsid w:val="009F6CA2"/>
    <w:rsid w:val="009F6D68"/>
    <w:rsid w:val="00A00128"/>
    <w:rsid w:val="00A003C5"/>
    <w:rsid w:val="00A00DEF"/>
    <w:rsid w:val="00A00E55"/>
    <w:rsid w:val="00A01C7F"/>
    <w:rsid w:val="00A0212D"/>
    <w:rsid w:val="00A0219B"/>
    <w:rsid w:val="00A0281D"/>
    <w:rsid w:val="00A0295B"/>
    <w:rsid w:val="00A029D2"/>
    <w:rsid w:val="00A02C13"/>
    <w:rsid w:val="00A02C88"/>
    <w:rsid w:val="00A02EFB"/>
    <w:rsid w:val="00A03130"/>
    <w:rsid w:val="00A03154"/>
    <w:rsid w:val="00A03312"/>
    <w:rsid w:val="00A03486"/>
    <w:rsid w:val="00A034E2"/>
    <w:rsid w:val="00A03C4B"/>
    <w:rsid w:val="00A04114"/>
    <w:rsid w:val="00A04EF3"/>
    <w:rsid w:val="00A05321"/>
    <w:rsid w:val="00A05472"/>
    <w:rsid w:val="00A05521"/>
    <w:rsid w:val="00A05CFB"/>
    <w:rsid w:val="00A05F27"/>
    <w:rsid w:val="00A06243"/>
    <w:rsid w:val="00A0632F"/>
    <w:rsid w:val="00A065C7"/>
    <w:rsid w:val="00A06B3D"/>
    <w:rsid w:val="00A070C5"/>
    <w:rsid w:val="00A0774D"/>
    <w:rsid w:val="00A07F15"/>
    <w:rsid w:val="00A100C4"/>
    <w:rsid w:val="00A10BE1"/>
    <w:rsid w:val="00A10DCD"/>
    <w:rsid w:val="00A1174F"/>
    <w:rsid w:val="00A117FE"/>
    <w:rsid w:val="00A11971"/>
    <w:rsid w:val="00A11A42"/>
    <w:rsid w:val="00A11C2D"/>
    <w:rsid w:val="00A11F29"/>
    <w:rsid w:val="00A120D3"/>
    <w:rsid w:val="00A125A2"/>
    <w:rsid w:val="00A12A70"/>
    <w:rsid w:val="00A12AAB"/>
    <w:rsid w:val="00A1309E"/>
    <w:rsid w:val="00A13335"/>
    <w:rsid w:val="00A1335D"/>
    <w:rsid w:val="00A138AA"/>
    <w:rsid w:val="00A145A0"/>
    <w:rsid w:val="00A14A19"/>
    <w:rsid w:val="00A15111"/>
    <w:rsid w:val="00A1526C"/>
    <w:rsid w:val="00A155F9"/>
    <w:rsid w:val="00A1589F"/>
    <w:rsid w:val="00A15CCD"/>
    <w:rsid w:val="00A15E6B"/>
    <w:rsid w:val="00A161BE"/>
    <w:rsid w:val="00A16266"/>
    <w:rsid w:val="00A16331"/>
    <w:rsid w:val="00A166AC"/>
    <w:rsid w:val="00A166BA"/>
    <w:rsid w:val="00A16A2E"/>
    <w:rsid w:val="00A16AEF"/>
    <w:rsid w:val="00A16EA8"/>
    <w:rsid w:val="00A17DF1"/>
    <w:rsid w:val="00A200FA"/>
    <w:rsid w:val="00A2051C"/>
    <w:rsid w:val="00A20569"/>
    <w:rsid w:val="00A206F7"/>
    <w:rsid w:val="00A209DC"/>
    <w:rsid w:val="00A212C6"/>
    <w:rsid w:val="00A2172F"/>
    <w:rsid w:val="00A225CA"/>
    <w:rsid w:val="00A23487"/>
    <w:rsid w:val="00A24262"/>
    <w:rsid w:val="00A24C48"/>
    <w:rsid w:val="00A24CD9"/>
    <w:rsid w:val="00A24EA4"/>
    <w:rsid w:val="00A24F55"/>
    <w:rsid w:val="00A24FB1"/>
    <w:rsid w:val="00A25016"/>
    <w:rsid w:val="00A253BC"/>
    <w:rsid w:val="00A254A1"/>
    <w:rsid w:val="00A258A9"/>
    <w:rsid w:val="00A25BFD"/>
    <w:rsid w:val="00A25D04"/>
    <w:rsid w:val="00A25D71"/>
    <w:rsid w:val="00A25F25"/>
    <w:rsid w:val="00A260EC"/>
    <w:rsid w:val="00A2650A"/>
    <w:rsid w:val="00A26A88"/>
    <w:rsid w:val="00A26DDD"/>
    <w:rsid w:val="00A271C3"/>
    <w:rsid w:val="00A27297"/>
    <w:rsid w:val="00A27946"/>
    <w:rsid w:val="00A27AF0"/>
    <w:rsid w:val="00A27C16"/>
    <w:rsid w:val="00A300D2"/>
    <w:rsid w:val="00A3019E"/>
    <w:rsid w:val="00A3054E"/>
    <w:rsid w:val="00A3070E"/>
    <w:rsid w:val="00A30B07"/>
    <w:rsid w:val="00A314E2"/>
    <w:rsid w:val="00A31EB0"/>
    <w:rsid w:val="00A31EDB"/>
    <w:rsid w:val="00A31F4E"/>
    <w:rsid w:val="00A3225E"/>
    <w:rsid w:val="00A32DA6"/>
    <w:rsid w:val="00A32F80"/>
    <w:rsid w:val="00A32FB6"/>
    <w:rsid w:val="00A334E2"/>
    <w:rsid w:val="00A33B94"/>
    <w:rsid w:val="00A345AD"/>
    <w:rsid w:val="00A34600"/>
    <w:rsid w:val="00A34E43"/>
    <w:rsid w:val="00A34EE1"/>
    <w:rsid w:val="00A355A5"/>
    <w:rsid w:val="00A35D08"/>
    <w:rsid w:val="00A36439"/>
    <w:rsid w:val="00A3675A"/>
    <w:rsid w:val="00A36CD7"/>
    <w:rsid w:val="00A36E17"/>
    <w:rsid w:val="00A36E64"/>
    <w:rsid w:val="00A370C9"/>
    <w:rsid w:val="00A37A67"/>
    <w:rsid w:val="00A37AF3"/>
    <w:rsid w:val="00A4010A"/>
    <w:rsid w:val="00A40229"/>
    <w:rsid w:val="00A4093A"/>
    <w:rsid w:val="00A40957"/>
    <w:rsid w:val="00A40E50"/>
    <w:rsid w:val="00A41112"/>
    <w:rsid w:val="00A411D3"/>
    <w:rsid w:val="00A41615"/>
    <w:rsid w:val="00A416D5"/>
    <w:rsid w:val="00A416F7"/>
    <w:rsid w:val="00A4175D"/>
    <w:rsid w:val="00A428A4"/>
    <w:rsid w:val="00A42F55"/>
    <w:rsid w:val="00A43941"/>
    <w:rsid w:val="00A43C36"/>
    <w:rsid w:val="00A4463D"/>
    <w:rsid w:val="00A4470F"/>
    <w:rsid w:val="00A44CBB"/>
    <w:rsid w:val="00A4516E"/>
    <w:rsid w:val="00A451B7"/>
    <w:rsid w:val="00A459C8"/>
    <w:rsid w:val="00A45E32"/>
    <w:rsid w:val="00A463D4"/>
    <w:rsid w:val="00A46441"/>
    <w:rsid w:val="00A4653F"/>
    <w:rsid w:val="00A46BE8"/>
    <w:rsid w:val="00A46C70"/>
    <w:rsid w:val="00A46D5F"/>
    <w:rsid w:val="00A475ED"/>
    <w:rsid w:val="00A47D99"/>
    <w:rsid w:val="00A5075E"/>
    <w:rsid w:val="00A50A04"/>
    <w:rsid w:val="00A50B78"/>
    <w:rsid w:val="00A510E7"/>
    <w:rsid w:val="00A51402"/>
    <w:rsid w:val="00A51740"/>
    <w:rsid w:val="00A51BD7"/>
    <w:rsid w:val="00A51FBA"/>
    <w:rsid w:val="00A524BF"/>
    <w:rsid w:val="00A524FA"/>
    <w:rsid w:val="00A535B1"/>
    <w:rsid w:val="00A53719"/>
    <w:rsid w:val="00A53ADA"/>
    <w:rsid w:val="00A53C9D"/>
    <w:rsid w:val="00A5417D"/>
    <w:rsid w:val="00A545F2"/>
    <w:rsid w:val="00A5498D"/>
    <w:rsid w:val="00A549F4"/>
    <w:rsid w:val="00A54BCA"/>
    <w:rsid w:val="00A55079"/>
    <w:rsid w:val="00A5538E"/>
    <w:rsid w:val="00A555DA"/>
    <w:rsid w:val="00A5643D"/>
    <w:rsid w:val="00A56542"/>
    <w:rsid w:val="00A56547"/>
    <w:rsid w:val="00A56C30"/>
    <w:rsid w:val="00A56E29"/>
    <w:rsid w:val="00A56EE8"/>
    <w:rsid w:val="00A5716D"/>
    <w:rsid w:val="00A575C3"/>
    <w:rsid w:val="00A57CE8"/>
    <w:rsid w:val="00A57FC8"/>
    <w:rsid w:val="00A60638"/>
    <w:rsid w:val="00A60A65"/>
    <w:rsid w:val="00A614D7"/>
    <w:rsid w:val="00A615FE"/>
    <w:rsid w:val="00A61641"/>
    <w:rsid w:val="00A61F3D"/>
    <w:rsid w:val="00A61FED"/>
    <w:rsid w:val="00A6219F"/>
    <w:rsid w:val="00A62264"/>
    <w:rsid w:val="00A628D7"/>
    <w:rsid w:val="00A62B13"/>
    <w:rsid w:val="00A62E10"/>
    <w:rsid w:val="00A635C2"/>
    <w:rsid w:val="00A63A92"/>
    <w:rsid w:val="00A63DDA"/>
    <w:rsid w:val="00A64142"/>
    <w:rsid w:val="00A64215"/>
    <w:rsid w:val="00A64563"/>
    <w:rsid w:val="00A64602"/>
    <w:rsid w:val="00A64923"/>
    <w:rsid w:val="00A64CCD"/>
    <w:rsid w:val="00A65926"/>
    <w:rsid w:val="00A65EBD"/>
    <w:rsid w:val="00A6614D"/>
    <w:rsid w:val="00A6626A"/>
    <w:rsid w:val="00A66A44"/>
    <w:rsid w:val="00A66E94"/>
    <w:rsid w:val="00A66F25"/>
    <w:rsid w:val="00A672B1"/>
    <w:rsid w:val="00A67A3B"/>
    <w:rsid w:val="00A67B7A"/>
    <w:rsid w:val="00A67FBA"/>
    <w:rsid w:val="00A70012"/>
    <w:rsid w:val="00A70071"/>
    <w:rsid w:val="00A70A80"/>
    <w:rsid w:val="00A70CC6"/>
    <w:rsid w:val="00A7110C"/>
    <w:rsid w:val="00A71598"/>
    <w:rsid w:val="00A717E7"/>
    <w:rsid w:val="00A71B83"/>
    <w:rsid w:val="00A71E4E"/>
    <w:rsid w:val="00A72164"/>
    <w:rsid w:val="00A72350"/>
    <w:rsid w:val="00A7245E"/>
    <w:rsid w:val="00A7322E"/>
    <w:rsid w:val="00A73603"/>
    <w:rsid w:val="00A73C43"/>
    <w:rsid w:val="00A73D6D"/>
    <w:rsid w:val="00A7420B"/>
    <w:rsid w:val="00A748BA"/>
    <w:rsid w:val="00A750C2"/>
    <w:rsid w:val="00A75168"/>
    <w:rsid w:val="00A751E5"/>
    <w:rsid w:val="00A75BBF"/>
    <w:rsid w:val="00A76890"/>
    <w:rsid w:val="00A76C74"/>
    <w:rsid w:val="00A77056"/>
    <w:rsid w:val="00A7709F"/>
    <w:rsid w:val="00A77160"/>
    <w:rsid w:val="00A773C3"/>
    <w:rsid w:val="00A776FF"/>
    <w:rsid w:val="00A777A7"/>
    <w:rsid w:val="00A77869"/>
    <w:rsid w:val="00A779E7"/>
    <w:rsid w:val="00A77D11"/>
    <w:rsid w:val="00A80123"/>
    <w:rsid w:val="00A8028D"/>
    <w:rsid w:val="00A80345"/>
    <w:rsid w:val="00A8044F"/>
    <w:rsid w:val="00A8062B"/>
    <w:rsid w:val="00A80724"/>
    <w:rsid w:val="00A80889"/>
    <w:rsid w:val="00A80A95"/>
    <w:rsid w:val="00A80F91"/>
    <w:rsid w:val="00A818E5"/>
    <w:rsid w:val="00A8190B"/>
    <w:rsid w:val="00A82DCF"/>
    <w:rsid w:val="00A83381"/>
    <w:rsid w:val="00A83BDE"/>
    <w:rsid w:val="00A83DD6"/>
    <w:rsid w:val="00A8422C"/>
    <w:rsid w:val="00A84389"/>
    <w:rsid w:val="00A8466F"/>
    <w:rsid w:val="00A857BE"/>
    <w:rsid w:val="00A85BDE"/>
    <w:rsid w:val="00A85CE3"/>
    <w:rsid w:val="00A86280"/>
    <w:rsid w:val="00A867E7"/>
    <w:rsid w:val="00A86AF7"/>
    <w:rsid w:val="00A86B72"/>
    <w:rsid w:val="00A86FE4"/>
    <w:rsid w:val="00A87437"/>
    <w:rsid w:val="00A87936"/>
    <w:rsid w:val="00A87EA8"/>
    <w:rsid w:val="00A87F26"/>
    <w:rsid w:val="00A9131E"/>
    <w:rsid w:val="00A91927"/>
    <w:rsid w:val="00A91CD0"/>
    <w:rsid w:val="00A91D7B"/>
    <w:rsid w:val="00A91E61"/>
    <w:rsid w:val="00A925CE"/>
    <w:rsid w:val="00A92F09"/>
    <w:rsid w:val="00A92F9D"/>
    <w:rsid w:val="00A9314C"/>
    <w:rsid w:val="00A934A9"/>
    <w:rsid w:val="00A93851"/>
    <w:rsid w:val="00A9395F"/>
    <w:rsid w:val="00A94061"/>
    <w:rsid w:val="00A9442F"/>
    <w:rsid w:val="00A94D6C"/>
    <w:rsid w:val="00A950FF"/>
    <w:rsid w:val="00A95967"/>
    <w:rsid w:val="00A96836"/>
    <w:rsid w:val="00A96E65"/>
    <w:rsid w:val="00A96EC1"/>
    <w:rsid w:val="00A973DE"/>
    <w:rsid w:val="00A973FE"/>
    <w:rsid w:val="00A97570"/>
    <w:rsid w:val="00A97B7E"/>
    <w:rsid w:val="00A97BD2"/>
    <w:rsid w:val="00A97D85"/>
    <w:rsid w:val="00A97EFD"/>
    <w:rsid w:val="00AA05C9"/>
    <w:rsid w:val="00AA06E5"/>
    <w:rsid w:val="00AA0725"/>
    <w:rsid w:val="00AA0865"/>
    <w:rsid w:val="00AA0A65"/>
    <w:rsid w:val="00AA0B0C"/>
    <w:rsid w:val="00AA0C42"/>
    <w:rsid w:val="00AA0CAD"/>
    <w:rsid w:val="00AA16BC"/>
    <w:rsid w:val="00AA191F"/>
    <w:rsid w:val="00AA1FDA"/>
    <w:rsid w:val="00AA20DA"/>
    <w:rsid w:val="00AA20FF"/>
    <w:rsid w:val="00AA2C54"/>
    <w:rsid w:val="00AA2CBC"/>
    <w:rsid w:val="00AA2EE2"/>
    <w:rsid w:val="00AA2FA5"/>
    <w:rsid w:val="00AA3109"/>
    <w:rsid w:val="00AA3595"/>
    <w:rsid w:val="00AA40FB"/>
    <w:rsid w:val="00AA41BE"/>
    <w:rsid w:val="00AA421D"/>
    <w:rsid w:val="00AA459E"/>
    <w:rsid w:val="00AA4869"/>
    <w:rsid w:val="00AA4E53"/>
    <w:rsid w:val="00AA4EB1"/>
    <w:rsid w:val="00AA4F36"/>
    <w:rsid w:val="00AA5102"/>
    <w:rsid w:val="00AA543B"/>
    <w:rsid w:val="00AA54D6"/>
    <w:rsid w:val="00AA5E36"/>
    <w:rsid w:val="00AA5FED"/>
    <w:rsid w:val="00AA61B8"/>
    <w:rsid w:val="00AA65B2"/>
    <w:rsid w:val="00AA6D48"/>
    <w:rsid w:val="00AA705F"/>
    <w:rsid w:val="00AA75D2"/>
    <w:rsid w:val="00AA77E1"/>
    <w:rsid w:val="00AB005E"/>
    <w:rsid w:val="00AB0196"/>
    <w:rsid w:val="00AB0668"/>
    <w:rsid w:val="00AB0954"/>
    <w:rsid w:val="00AB0DCB"/>
    <w:rsid w:val="00AB1C77"/>
    <w:rsid w:val="00AB1D16"/>
    <w:rsid w:val="00AB1D43"/>
    <w:rsid w:val="00AB1DDF"/>
    <w:rsid w:val="00AB1E3E"/>
    <w:rsid w:val="00AB233C"/>
    <w:rsid w:val="00AB2A51"/>
    <w:rsid w:val="00AB2EA1"/>
    <w:rsid w:val="00AB3046"/>
    <w:rsid w:val="00AB3105"/>
    <w:rsid w:val="00AB3ABC"/>
    <w:rsid w:val="00AB4099"/>
    <w:rsid w:val="00AB4940"/>
    <w:rsid w:val="00AB4C94"/>
    <w:rsid w:val="00AB4CBA"/>
    <w:rsid w:val="00AB5015"/>
    <w:rsid w:val="00AB5213"/>
    <w:rsid w:val="00AB6320"/>
    <w:rsid w:val="00AB6336"/>
    <w:rsid w:val="00AB650A"/>
    <w:rsid w:val="00AB7254"/>
    <w:rsid w:val="00AB7BF3"/>
    <w:rsid w:val="00AC01D7"/>
    <w:rsid w:val="00AC03EF"/>
    <w:rsid w:val="00AC072C"/>
    <w:rsid w:val="00AC0B21"/>
    <w:rsid w:val="00AC1256"/>
    <w:rsid w:val="00AC12F4"/>
    <w:rsid w:val="00AC18F9"/>
    <w:rsid w:val="00AC1971"/>
    <w:rsid w:val="00AC1EEF"/>
    <w:rsid w:val="00AC228C"/>
    <w:rsid w:val="00AC2356"/>
    <w:rsid w:val="00AC2A25"/>
    <w:rsid w:val="00AC2DA3"/>
    <w:rsid w:val="00AC2F8C"/>
    <w:rsid w:val="00AC327E"/>
    <w:rsid w:val="00AC4047"/>
    <w:rsid w:val="00AC445F"/>
    <w:rsid w:val="00AC4774"/>
    <w:rsid w:val="00AC4818"/>
    <w:rsid w:val="00AC4A18"/>
    <w:rsid w:val="00AC4A55"/>
    <w:rsid w:val="00AC502C"/>
    <w:rsid w:val="00AC5403"/>
    <w:rsid w:val="00AC5B9F"/>
    <w:rsid w:val="00AC5D1A"/>
    <w:rsid w:val="00AC5DE5"/>
    <w:rsid w:val="00AC643A"/>
    <w:rsid w:val="00AC6534"/>
    <w:rsid w:val="00AC6610"/>
    <w:rsid w:val="00AC67D2"/>
    <w:rsid w:val="00AC714C"/>
    <w:rsid w:val="00AC7C8B"/>
    <w:rsid w:val="00AC7EC2"/>
    <w:rsid w:val="00AD0011"/>
    <w:rsid w:val="00AD0581"/>
    <w:rsid w:val="00AD0664"/>
    <w:rsid w:val="00AD0721"/>
    <w:rsid w:val="00AD0988"/>
    <w:rsid w:val="00AD119F"/>
    <w:rsid w:val="00AD1523"/>
    <w:rsid w:val="00AD1676"/>
    <w:rsid w:val="00AD171B"/>
    <w:rsid w:val="00AD18B4"/>
    <w:rsid w:val="00AD19B4"/>
    <w:rsid w:val="00AD1E60"/>
    <w:rsid w:val="00AD2928"/>
    <w:rsid w:val="00AD29AB"/>
    <w:rsid w:val="00AD2B99"/>
    <w:rsid w:val="00AD3180"/>
    <w:rsid w:val="00AD3255"/>
    <w:rsid w:val="00AD34A1"/>
    <w:rsid w:val="00AD35A3"/>
    <w:rsid w:val="00AD373C"/>
    <w:rsid w:val="00AD42D0"/>
    <w:rsid w:val="00AD48D3"/>
    <w:rsid w:val="00AD4ECA"/>
    <w:rsid w:val="00AD5A80"/>
    <w:rsid w:val="00AD5FB2"/>
    <w:rsid w:val="00AD6146"/>
    <w:rsid w:val="00AD6284"/>
    <w:rsid w:val="00AD6BD3"/>
    <w:rsid w:val="00AD6CF4"/>
    <w:rsid w:val="00AD716B"/>
    <w:rsid w:val="00AD791F"/>
    <w:rsid w:val="00AD794A"/>
    <w:rsid w:val="00AD79D9"/>
    <w:rsid w:val="00AD7FC2"/>
    <w:rsid w:val="00AE0364"/>
    <w:rsid w:val="00AE06C8"/>
    <w:rsid w:val="00AE08F0"/>
    <w:rsid w:val="00AE0A0F"/>
    <w:rsid w:val="00AE0C28"/>
    <w:rsid w:val="00AE0EAB"/>
    <w:rsid w:val="00AE1CB8"/>
    <w:rsid w:val="00AE1CCF"/>
    <w:rsid w:val="00AE1F4D"/>
    <w:rsid w:val="00AE1FD6"/>
    <w:rsid w:val="00AE299E"/>
    <w:rsid w:val="00AE29DB"/>
    <w:rsid w:val="00AE2C8F"/>
    <w:rsid w:val="00AE2CD6"/>
    <w:rsid w:val="00AE30CF"/>
    <w:rsid w:val="00AE3597"/>
    <w:rsid w:val="00AE3CD6"/>
    <w:rsid w:val="00AE3F69"/>
    <w:rsid w:val="00AE52CE"/>
    <w:rsid w:val="00AE52FA"/>
    <w:rsid w:val="00AE56BD"/>
    <w:rsid w:val="00AE5727"/>
    <w:rsid w:val="00AE6241"/>
    <w:rsid w:val="00AE6369"/>
    <w:rsid w:val="00AE6CC1"/>
    <w:rsid w:val="00AE6E9E"/>
    <w:rsid w:val="00AE6F3C"/>
    <w:rsid w:val="00AE70E3"/>
    <w:rsid w:val="00AF0E87"/>
    <w:rsid w:val="00AF1128"/>
    <w:rsid w:val="00AF14D6"/>
    <w:rsid w:val="00AF1849"/>
    <w:rsid w:val="00AF20D7"/>
    <w:rsid w:val="00AF22F7"/>
    <w:rsid w:val="00AF2381"/>
    <w:rsid w:val="00AF25A9"/>
    <w:rsid w:val="00AF2777"/>
    <w:rsid w:val="00AF280D"/>
    <w:rsid w:val="00AF2826"/>
    <w:rsid w:val="00AF2EFE"/>
    <w:rsid w:val="00AF312D"/>
    <w:rsid w:val="00AF32FC"/>
    <w:rsid w:val="00AF3458"/>
    <w:rsid w:val="00AF38F0"/>
    <w:rsid w:val="00AF3DDF"/>
    <w:rsid w:val="00AF40D1"/>
    <w:rsid w:val="00AF54FB"/>
    <w:rsid w:val="00AF5812"/>
    <w:rsid w:val="00AF58A1"/>
    <w:rsid w:val="00AF619B"/>
    <w:rsid w:val="00AF6430"/>
    <w:rsid w:val="00AF6BCA"/>
    <w:rsid w:val="00AF77DE"/>
    <w:rsid w:val="00AF7E6D"/>
    <w:rsid w:val="00AF7FC8"/>
    <w:rsid w:val="00B001C5"/>
    <w:rsid w:val="00B00538"/>
    <w:rsid w:val="00B00701"/>
    <w:rsid w:val="00B00965"/>
    <w:rsid w:val="00B010E5"/>
    <w:rsid w:val="00B013B2"/>
    <w:rsid w:val="00B01469"/>
    <w:rsid w:val="00B015EA"/>
    <w:rsid w:val="00B016A8"/>
    <w:rsid w:val="00B01AA4"/>
    <w:rsid w:val="00B01B24"/>
    <w:rsid w:val="00B01CD0"/>
    <w:rsid w:val="00B0220C"/>
    <w:rsid w:val="00B02AE5"/>
    <w:rsid w:val="00B03880"/>
    <w:rsid w:val="00B03A1F"/>
    <w:rsid w:val="00B03C4A"/>
    <w:rsid w:val="00B03D51"/>
    <w:rsid w:val="00B03DFB"/>
    <w:rsid w:val="00B03F61"/>
    <w:rsid w:val="00B04B46"/>
    <w:rsid w:val="00B04CA6"/>
    <w:rsid w:val="00B050F8"/>
    <w:rsid w:val="00B05957"/>
    <w:rsid w:val="00B05AF7"/>
    <w:rsid w:val="00B065B9"/>
    <w:rsid w:val="00B067ED"/>
    <w:rsid w:val="00B068C2"/>
    <w:rsid w:val="00B06A4F"/>
    <w:rsid w:val="00B06B1A"/>
    <w:rsid w:val="00B07B61"/>
    <w:rsid w:val="00B07D4A"/>
    <w:rsid w:val="00B1025C"/>
    <w:rsid w:val="00B10689"/>
    <w:rsid w:val="00B1123B"/>
    <w:rsid w:val="00B1126C"/>
    <w:rsid w:val="00B11301"/>
    <w:rsid w:val="00B117B8"/>
    <w:rsid w:val="00B119CF"/>
    <w:rsid w:val="00B11A4C"/>
    <w:rsid w:val="00B11CF1"/>
    <w:rsid w:val="00B11E50"/>
    <w:rsid w:val="00B120CD"/>
    <w:rsid w:val="00B1223D"/>
    <w:rsid w:val="00B125AB"/>
    <w:rsid w:val="00B12F18"/>
    <w:rsid w:val="00B13290"/>
    <w:rsid w:val="00B139E7"/>
    <w:rsid w:val="00B14119"/>
    <w:rsid w:val="00B147AB"/>
    <w:rsid w:val="00B147E9"/>
    <w:rsid w:val="00B14FF8"/>
    <w:rsid w:val="00B15577"/>
    <w:rsid w:val="00B15C65"/>
    <w:rsid w:val="00B163B6"/>
    <w:rsid w:val="00B166B7"/>
    <w:rsid w:val="00B16E0B"/>
    <w:rsid w:val="00B16EE8"/>
    <w:rsid w:val="00B1747A"/>
    <w:rsid w:val="00B177A4"/>
    <w:rsid w:val="00B1795E"/>
    <w:rsid w:val="00B17AC7"/>
    <w:rsid w:val="00B205F4"/>
    <w:rsid w:val="00B20981"/>
    <w:rsid w:val="00B20BDD"/>
    <w:rsid w:val="00B20C09"/>
    <w:rsid w:val="00B20E69"/>
    <w:rsid w:val="00B2107D"/>
    <w:rsid w:val="00B210AB"/>
    <w:rsid w:val="00B21BD5"/>
    <w:rsid w:val="00B21E1B"/>
    <w:rsid w:val="00B21E9F"/>
    <w:rsid w:val="00B21F8B"/>
    <w:rsid w:val="00B2229E"/>
    <w:rsid w:val="00B225B1"/>
    <w:rsid w:val="00B228DB"/>
    <w:rsid w:val="00B22AB8"/>
    <w:rsid w:val="00B22E1B"/>
    <w:rsid w:val="00B22E7D"/>
    <w:rsid w:val="00B2336A"/>
    <w:rsid w:val="00B2338F"/>
    <w:rsid w:val="00B2347E"/>
    <w:rsid w:val="00B23633"/>
    <w:rsid w:val="00B238B0"/>
    <w:rsid w:val="00B23A98"/>
    <w:rsid w:val="00B23B2B"/>
    <w:rsid w:val="00B23C56"/>
    <w:rsid w:val="00B23CBA"/>
    <w:rsid w:val="00B24001"/>
    <w:rsid w:val="00B2462F"/>
    <w:rsid w:val="00B24698"/>
    <w:rsid w:val="00B2487B"/>
    <w:rsid w:val="00B24E0E"/>
    <w:rsid w:val="00B24FC9"/>
    <w:rsid w:val="00B25511"/>
    <w:rsid w:val="00B255EB"/>
    <w:rsid w:val="00B25AED"/>
    <w:rsid w:val="00B25B44"/>
    <w:rsid w:val="00B25CF4"/>
    <w:rsid w:val="00B25FDC"/>
    <w:rsid w:val="00B278A9"/>
    <w:rsid w:val="00B30405"/>
    <w:rsid w:val="00B30819"/>
    <w:rsid w:val="00B323AE"/>
    <w:rsid w:val="00B32CE6"/>
    <w:rsid w:val="00B337A3"/>
    <w:rsid w:val="00B33A62"/>
    <w:rsid w:val="00B33AF1"/>
    <w:rsid w:val="00B33B73"/>
    <w:rsid w:val="00B33CAA"/>
    <w:rsid w:val="00B33CF5"/>
    <w:rsid w:val="00B34E32"/>
    <w:rsid w:val="00B3503C"/>
    <w:rsid w:val="00B35131"/>
    <w:rsid w:val="00B351B7"/>
    <w:rsid w:val="00B3551B"/>
    <w:rsid w:val="00B35AAD"/>
    <w:rsid w:val="00B35DA1"/>
    <w:rsid w:val="00B35E2D"/>
    <w:rsid w:val="00B35FA9"/>
    <w:rsid w:val="00B361BF"/>
    <w:rsid w:val="00B36336"/>
    <w:rsid w:val="00B36813"/>
    <w:rsid w:val="00B368BB"/>
    <w:rsid w:val="00B368D5"/>
    <w:rsid w:val="00B36D20"/>
    <w:rsid w:val="00B3727E"/>
    <w:rsid w:val="00B3749C"/>
    <w:rsid w:val="00B40077"/>
    <w:rsid w:val="00B403F2"/>
    <w:rsid w:val="00B40775"/>
    <w:rsid w:val="00B40DBD"/>
    <w:rsid w:val="00B40EC6"/>
    <w:rsid w:val="00B412ED"/>
    <w:rsid w:val="00B41325"/>
    <w:rsid w:val="00B41A2B"/>
    <w:rsid w:val="00B42278"/>
    <w:rsid w:val="00B42D00"/>
    <w:rsid w:val="00B42F56"/>
    <w:rsid w:val="00B4360C"/>
    <w:rsid w:val="00B436F6"/>
    <w:rsid w:val="00B4375C"/>
    <w:rsid w:val="00B441BC"/>
    <w:rsid w:val="00B444AD"/>
    <w:rsid w:val="00B44A70"/>
    <w:rsid w:val="00B44FC8"/>
    <w:rsid w:val="00B4533A"/>
    <w:rsid w:val="00B45CD0"/>
    <w:rsid w:val="00B45F21"/>
    <w:rsid w:val="00B45F7B"/>
    <w:rsid w:val="00B46823"/>
    <w:rsid w:val="00B46881"/>
    <w:rsid w:val="00B46BF0"/>
    <w:rsid w:val="00B46F36"/>
    <w:rsid w:val="00B474AD"/>
    <w:rsid w:val="00B474BF"/>
    <w:rsid w:val="00B474D9"/>
    <w:rsid w:val="00B4780D"/>
    <w:rsid w:val="00B47B4D"/>
    <w:rsid w:val="00B47BEE"/>
    <w:rsid w:val="00B47C09"/>
    <w:rsid w:val="00B5036D"/>
    <w:rsid w:val="00B504F5"/>
    <w:rsid w:val="00B50732"/>
    <w:rsid w:val="00B5075D"/>
    <w:rsid w:val="00B50911"/>
    <w:rsid w:val="00B510F8"/>
    <w:rsid w:val="00B519EB"/>
    <w:rsid w:val="00B5257C"/>
    <w:rsid w:val="00B52717"/>
    <w:rsid w:val="00B52E1D"/>
    <w:rsid w:val="00B53272"/>
    <w:rsid w:val="00B5413F"/>
    <w:rsid w:val="00B541D4"/>
    <w:rsid w:val="00B547E5"/>
    <w:rsid w:val="00B5493D"/>
    <w:rsid w:val="00B54A15"/>
    <w:rsid w:val="00B54B1D"/>
    <w:rsid w:val="00B54C91"/>
    <w:rsid w:val="00B55AB5"/>
    <w:rsid w:val="00B55AE4"/>
    <w:rsid w:val="00B55D69"/>
    <w:rsid w:val="00B5673A"/>
    <w:rsid w:val="00B570A7"/>
    <w:rsid w:val="00B5717F"/>
    <w:rsid w:val="00B5734D"/>
    <w:rsid w:val="00B57798"/>
    <w:rsid w:val="00B5798C"/>
    <w:rsid w:val="00B57F27"/>
    <w:rsid w:val="00B601F5"/>
    <w:rsid w:val="00B60296"/>
    <w:rsid w:val="00B6078B"/>
    <w:rsid w:val="00B616E3"/>
    <w:rsid w:val="00B61CB5"/>
    <w:rsid w:val="00B61FA6"/>
    <w:rsid w:val="00B62356"/>
    <w:rsid w:val="00B62ADD"/>
    <w:rsid w:val="00B62EF4"/>
    <w:rsid w:val="00B62F0F"/>
    <w:rsid w:val="00B6315C"/>
    <w:rsid w:val="00B6374F"/>
    <w:rsid w:val="00B63AB3"/>
    <w:rsid w:val="00B63E9C"/>
    <w:rsid w:val="00B6408C"/>
    <w:rsid w:val="00B64721"/>
    <w:rsid w:val="00B64CCD"/>
    <w:rsid w:val="00B64F60"/>
    <w:rsid w:val="00B659FA"/>
    <w:rsid w:val="00B65B01"/>
    <w:rsid w:val="00B663B0"/>
    <w:rsid w:val="00B6674D"/>
    <w:rsid w:val="00B668E2"/>
    <w:rsid w:val="00B66BBF"/>
    <w:rsid w:val="00B66C6B"/>
    <w:rsid w:val="00B66CDD"/>
    <w:rsid w:val="00B66FE3"/>
    <w:rsid w:val="00B6788E"/>
    <w:rsid w:val="00B679AC"/>
    <w:rsid w:val="00B67DDD"/>
    <w:rsid w:val="00B70679"/>
    <w:rsid w:val="00B70F27"/>
    <w:rsid w:val="00B71014"/>
    <w:rsid w:val="00B71EE2"/>
    <w:rsid w:val="00B729DA"/>
    <w:rsid w:val="00B72C42"/>
    <w:rsid w:val="00B72CD0"/>
    <w:rsid w:val="00B72F92"/>
    <w:rsid w:val="00B73A0F"/>
    <w:rsid w:val="00B73D77"/>
    <w:rsid w:val="00B73E33"/>
    <w:rsid w:val="00B73FA7"/>
    <w:rsid w:val="00B73FAA"/>
    <w:rsid w:val="00B74234"/>
    <w:rsid w:val="00B744AF"/>
    <w:rsid w:val="00B74828"/>
    <w:rsid w:val="00B74A67"/>
    <w:rsid w:val="00B7548E"/>
    <w:rsid w:val="00B758A0"/>
    <w:rsid w:val="00B758C7"/>
    <w:rsid w:val="00B758DA"/>
    <w:rsid w:val="00B75FA0"/>
    <w:rsid w:val="00B761DC"/>
    <w:rsid w:val="00B77CE7"/>
    <w:rsid w:val="00B77F41"/>
    <w:rsid w:val="00B803CB"/>
    <w:rsid w:val="00B80571"/>
    <w:rsid w:val="00B8073F"/>
    <w:rsid w:val="00B8094A"/>
    <w:rsid w:val="00B81577"/>
    <w:rsid w:val="00B81E5E"/>
    <w:rsid w:val="00B82040"/>
    <w:rsid w:val="00B82426"/>
    <w:rsid w:val="00B8249C"/>
    <w:rsid w:val="00B824C0"/>
    <w:rsid w:val="00B82990"/>
    <w:rsid w:val="00B82A62"/>
    <w:rsid w:val="00B82AD7"/>
    <w:rsid w:val="00B82F1E"/>
    <w:rsid w:val="00B830EB"/>
    <w:rsid w:val="00B8340C"/>
    <w:rsid w:val="00B837F9"/>
    <w:rsid w:val="00B841FB"/>
    <w:rsid w:val="00B849AA"/>
    <w:rsid w:val="00B84D1A"/>
    <w:rsid w:val="00B84FB5"/>
    <w:rsid w:val="00B850A0"/>
    <w:rsid w:val="00B85F10"/>
    <w:rsid w:val="00B861E9"/>
    <w:rsid w:val="00B86607"/>
    <w:rsid w:val="00B86B53"/>
    <w:rsid w:val="00B86FCC"/>
    <w:rsid w:val="00B87664"/>
    <w:rsid w:val="00B87A95"/>
    <w:rsid w:val="00B87D1C"/>
    <w:rsid w:val="00B87DFF"/>
    <w:rsid w:val="00B900D0"/>
    <w:rsid w:val="00B91562"/>
    <w:rsid w:val="00B915B4"/>
    <w:rsid w:val="00B9165B"/>
    <w:rsid w:val="00B91A50"/>
    <w:rsid w:val="00B91C39"/>
    <w:rsid w:val="00B91D85"/>
    <w:rsid w:val="00B91E37"/>
    <w:rsid w:val="00B92EF5"/>
    <w:rsid w:val="00B92F11"/>
    <w:rsid w:val="00B93986"/>
    <w:rsid w:val="00B93DE7"/>
    <w:rsid w:val="00B946F4"/>
    <w:rsid w:val="00B948DB"/>
    <w:rsid w:val="00B94A7C"/>
    <w:rsid w:val="00B94CCB"/>
    <w:rsid w:val="00B94D8C"/>
    <w:rsid w:val="00B94EE9"/>
    <w:rsid w:val="00B955A3"/>
    <w:rsid w:val="00B95B0D"/>
    <w:rsid w:val="00B9646E"/>
    <w:rsid w:val="00B96969"/>
    <w:rsid w:val="00B97AD1"/>
    <w:rsid w:val="00BA05D3"/>
    <w:rsid w:val="00BA0F61"/>
    <w:rsid w:val="00BA1281"/>
    <w:rsid w:val="00BA1305"/>
    <w:rsid w:val="00BA15F0"/>
    <w:rsid w:val="00BA18C4"/>
    <w:rsid w:val="00BA1CDA"/>
    <w:rsid w:val="00BA2465"/>
    <w:rsid w:val="00BA25DD"/>
    <w:rsid w:val="00BA3157"/>
    <w:rsid w:val="00BA41EC"/>
    <w:rsid w:val="00BA41FD"/>
    <w:rsid w:val="00BA42F2"/>
    <w:rsid w:val="00BA43A8"/>
    <w:rsid w:val="00BA45B3"/>
    <w:rsid w:val="00BA45EF"/>
    <w:rsid w:val="00BA4DE2"/>
    <w:rsid w:val="00BA5312"/>
    <w:rsid w:val="00BA5353"/>
    <w:rsid w:val="00BA5C33"/>
    <w:rsid w:val="00BA6478"/>
    <w:rsid w:val="00BA6913"/>
    <w:rsid w:val="00BA6972"/>
    <w:rsid w:val="00BA6FCC"/>
    <w:rsid w:val="00BA7416"/>
    <w:rsid w:val="00BA7F7D"/>
    <w:rsid w:val="00BB008A"/>
    <w:rsid w:val="00BB05A7"/>
    <w:rsid w:val="00BB0869"/>
    <w:rsid w:val="00BB099A"/>
    <w:rsid w:val="00BB146B"/>
    <w:rsid w:val="00BB18BF"/>
    <w:rsid w:val="00BB1AAA"/>
    <w:rsid w:val="00BB1C73"/>
    <w:rsid w:val="00BB1CD0"/>
    <w:rsid w:val="00BB28EF"/>
    <w:rsid w:val="00BB2BBF"/>
    <w:rsid w:val="00BB3213"/>
    <w:rsid w:val="00BB3251"/>
    <w:rsid w:val="00BB3313"/>
    <w:rsid w:val="00BB44A8"/>
    <w:rsid w:val="00BB4730"/>
    <w:rsid w:val="00BB4D26"/>
    <w:rsid w:val="00BB4ECF"/>
    <w:rsid w:val="00BB590F"/>
    <w:rsid w:val="00BB5AD2"/>
    <w:rsid w:val="00BB606E"/>
    <w:rsid w:val="00BB61DC"/>
    <w:rsid w:val="00BB63DC"/>
    <w:rsid w:val="00BB65C9"/>
    <w:rsid w:val="00BB65DF"/>
    <w:rsid w:val="00BB67DD"/>
    <w:rsid w:val="00BB68E7"/>
    <w:rsid w:val="00BB6990"/>
    <w:rsid w:val="00BB6E54"/>
    <w:rsid w:val="00BB6E76"/>
    <w:rsid w:val="00BB6EC5"/>
    <w:rsid w:val="00BB6ECE"/>
    <w:rsid w:val="00BB6F02"/>
    <w:rsid w:val="00BB7133"/>
    <w:rsid w:val="00BB73AE"/>
    <w:rsid w:val="00BB754A"/>
    <w:rsid w:val="00BB7614"/>
    <w:rsid w:val="00BB78F1"/>
    <w:rsid w:val="00BC00A4"/>
    <w:rsid w:val="00BC0254"/>
    <w:rsid w:val="00BC037B"/>
    <w:rsid w:val="00BC0804"/>
    <w:rsid w:val="00BC0816"/>
    <w:rsid w:val="00BC189B"/>
    <w:rsid w:val="00BC190E"/>
    <w:rsid w:val="00BC1E35"/>
    <w:rsid w:val="00BC1FB7"/>
    <w:rsid w:val="00BC2197"/>
    <w:rsid w:val="00BC2338"/>
    <w:rsid w:val="00BC2614"/>
    <w:rsid w:val="00BC33D5"/>
    <w:rsid w:val="00BC3FA1"/>
    <w:rsid w:val="00BC41BB"/>
    <w:rsid w:val="00BC43E6"/>
    <w:rsid w:val="00BC46EF"/>
    <w:rsid w:val="00BC4B06"/>
    <w:rsid w:val="00BC4B41"/>
    <w:rsid w:val="00BC4F36"/>
    <w:rsid w:val="00BC4FEF"/>
    <w:rsid w:val="00BC5289"/>
    <w:rsid w:val="00BC5525"/>
    <w:rsid w:val="00BC582D"/>
    <w:rsid w:val="00BC643C"/>
    <w:rsid w:val="00BC74CA"/>
    <w:rsid w:val="00BC764D"/>
    <w:rsid w:val="00BC7C41"/>
    <w:rsid w:val="00BC7FB2"/>
    <w:rsid w:val="00BD037A"/>
    <w:rsid w:val="00BD08F2"/>
    <w:rsid w:val="00BD272D"/>
    <w:rsid w:val="00BD2956"/>
    <w:rsid w:val="00BD2A0B"/>
    <w:rsid w:val="00BD2F85"/>
    <w:rsid w:val="00BD2F93"/>
    <w:rsid w:val="00BD307C"/>
    <w:rsid w:val="00BD3851"/>
    <w:rsid w:val="00BD3DAD"/>
    <w:rsid w:val="00BD3FCD"/>
    <w:rsid w:val="00BD4125"/>
    <w:rsid w:val="00BD48C6"/>
    <w:rsid w:val="00BD4A35"/>
    <w:rsid w:val="00BD4CC1"/>
    <w:rsid w:val="00BD4FB0"/>
    <w:rsid w:val="00BD5164"/>
    <w:rsid w:val="00BD5170"/>
    <w:rsid w:val="00BD5290"/>
    <w:rsid w:val="00BD5435"/>
    <w:rsid w:val="00BD5473"/>
    <w:rsid w:val="00BD569F"/>
    <w:rsid w:val="00BD5947"/>
    <w:rsid w:val="00BD5A98"/>
    <w:rsid w:val="00BD5A9D"/>
    <w:rsid w:val="00BD5CBC"/>
    <w:rsid w:val="00BD6280"/>
    <w:rsid w:val="00BD6543"/>
    <w:rsid w:val="00BD6EE0"/>
    <w:rsid w:val="00BD7077"/>
    <w:rsid w:val="00BD7416"/>
    <w:rsid w:val="00BD7ACB"/>
    <w:rsid w:val="00BD7AE8"/>
    <w:rsid w:val="00BE0263"/>
    <w:rsid w:val="00BE0468"/>
    <w:rsid w:val="00BE0814"/>
    <w:rsid w:val="00BE099F"/>
    <w:rsid w:val="00BE09D4"/>
    <w:rsid w:val="00BE0B1F"/>
    <w:rsid w:val="00BE0CFD"/>
    <w:rsid w:val="00BE0D42"/>
    <w:rsid w:val="00BE0FA2"/>
    <w:rsid w:val="00BE1181"/>
    <w:rsid w:val="00BE11BA"/>
    <w:rsid w:val="00BE183F"/>
    <w:rsid w:val="00BE2383"/>
    <w:rsid w:val="00BE28A4"/>
    <w:rsid w:val="00BE2D06"/>
    <w:rsid w:val="00BE2D66"/>
    <w:rsid w:val="00BE2D68"/>
    <w:rsid w:val="00BE39D9"/>
    <w:rsid w:val="00BE4114"/>
    <w:rsid w:val="00BE47CE"/>
    <w:rsid w:val="00BE48B3"/>
    <w:rsid w:val="00BE4AB2"/>
    <w:rsid w:val="00BE54EC"/>
    <w:rsid w:val="00BE5568"/>
    <w:rsid w:val="00BE55D6"/>
    <w:rsid w:val="00BE5A2F"/>
    <w:rsid w:val="00BE5EE5"/>
    <w:rsid w:val="00BE61C9"/>
    <w:rsid w:val="00BE631E"/>
    <w:rsid w:val="00BE6EE4"/>
    <w:rsid w:val="00BE7259"/>
    <w:rsid w:val="00BE736F"/>
    <w:rsid w:val="00BF0208"/>
    <w:rsid w:val="00BF07E4"/>
    <w:rsid w:val="00BF157D"/>
    <w:rsid w:val="00BF15EE"/>
    <w:rsid w:val="00BF1723"/>
    <w:rsid w:val="00BF1AC6"/>
    <w:rsid w:val="00BF27A8"/>
    <w:rsid w:val="00BF2C09"/>
    <w:rsid w:val="00BF3240"/>
    <w:rsid w:val="00BF34DC"/>
    <w:rsid w:val="00BF38C6"/>
    <w:rsid w:val="00BF3BC3"/>
    <w:rsid w:val="00BF3EEC"/>
    <w:rsid w:val="00BF4709"/>
    <w:rsid w:val="00BF516C"/>
    <w:rsid w:val="00BF57F0"/>
    <w:rsid w:val="00BF59BC"/>
    <w:rsid w:val="00BF5A40"/>
    <w:rsid w:val="00BF5D65"/>
    <w:rsid w:val="00BF62A1"/>
    <w:rsid w:val="00BF6854"/>
    <w:rsid w:val="00BF6E4A"/>
    <w:rsid w:val="00C0004A"/>
    <w:rsid w:val="00C00345"/>
    <w:rsid w:val="00C00E6B"/>
    <w:rsid w:val="00C012BA"/>
    <w:rsid w:val="00C01540"/>
    <w:rsid w:val="00C017A8"/>
    <w:rsid w:val="00C018FA"/>
    <w:rsid w:val="00C01EA4"/>
    <w:rsid w:val="00C01F56"/>
    <w:rsid w:val="00C0265F"/>
    <w:rsid w:val="00C02AD0"/>
    <w:rsid w:val="00C03007"/>
    <w:rsid w:val="00C03306"/>
    <w:rsid w:val="00C03491"/>
    <w:rsid w:val="00C03703"/>
    <w:rsid w:val="00C0378E"/>
    <w:rsid w:val="00C038A2"/>
    <w:rsid w:val="00C046AE"/>
    <w:rsid w:val="00C04CDB"/>
    <w:rsid w:val="00C05037"/>
    <w:rsid w:val="00C05545"/>
    <w:rsid w:val="00C056C1"/>
    <w:rsid w:val="00C063D9"/>
    <w:rsid w:val="00C06FFB"/>
    <w:rsid w:val="00C07522"/>
    <w:rsid w:val="00C10233"/>
    <w:rsid w:val="00C1027A"/>
    <w:rsid w:val="00C10375"/>
    <w:rsid w:val="00C1170D"/>
    <w:rsid w:val="00C11EDC"/>
    <w:rsid w:val="00C1214B"/>
    <w:rsid w:val="00C12851"/>
    <w:rsid w:val="00C128BD"/>
    <w:rsid w:val="00C1296B"/>
    <w:rsid w:val="00C12A09"/>
    <w:rsid w:val="00C12A89"/>
    <w:rsid w:val="00C12B4C"/>
    <w:rsid w:val="00C12BA2"/>
    <w:rsid w:val="00C12E0C"/>
    <w:rsid w:val="00C14235"/>
    <w:rsid w:val="00C143BA"/>
    <w:rsid w:val="00C14506"/>
    <w:rsid w:val="00C156AE"/>
    <w:rsid w:val="00C15B8C"/>
    <w:rsid w:val="00C15D48"/>
    <w:rsid w:val="00C163FE"/>
    <w:rsid w:val="00C16D91"/>
    <w:rsid w:val="00C17044"/>
    <w:rsid w:val="00C17085"/>
    <w:rsid w:val="00C1708A"/>
    <w:rsid w:val="00C17718"/>
    <w:rsid w:val="00C201F3"/>
    <w:rsid w:val="00C2047B"/>
    <w:rsid w:val="00C206BD"/>
    <w:rsid w:val="00C22358"/>
    <w:rsid w:val="00C2267A"/>
    <w:rsid w:val="00C22BBA"/>
    <w:rsid w:val="00C22FD1"/>
    <w:rsid w:val="00C2324B"/>
    <w:rsid w:val="00C23F9D"/>
    <w:rsid w:val="00C2448C"/>
    <w:rsid w:val="00C24B11"/>
    <w:rsid w:val="00C24CAA"/>
    <w:rsid w:val="00C2518B"/>
    <w:rsid w:val="00C254AC"/>
    <w:rsid w:val="00C256C2"/>
    <w:rsid w:val="00C26001"/>
    <w:rsid w:val="00C2634C"/>
    <w:rsid w:val="00C2682C"/>
    <w:rsid w:val="00C26968"/>
    <w:rsid w:val="00C26D8A"/>
    <w:rsid w:val="00C27668"/>
    <w:rsid w:val="00C27AC0"/>
    <w:rsid w:val="00C305F8"/>
    <w:rsid w:val="00C30A73"/>
    <w:rsid w:val="00C30B72"/>
    <w:rsid w:val="00C30CAC"/>
    <w:rsid w:val="00C31968"/>
    <w:rsid w:val="00C31BC8"/>
    <w:rsid w:val="00C31C60"/>
    <w:rsid w:val="00C3206B"/>
    <w:rsid w:val="00C3214E"/>
    <w:rsid w:val="00C32575"/>
    <w:rsid w:val="00C32876"/>
    <w:rsid w:val="00C3299C"/>
    <w:rsid w:val="00C337EE"/>
    <w:rsid w:val="00C33955"/>
    <w:rsid w:val="00C33DC9"/>
    <w:rsid w:val="00C33ED7"/>
    <w:rsid w:val="00C3458F"/>
    <w:rsid w:val="00C34BE2"/>
    <w:rsid w:val="00C34C19"/>
    <w:rsid w:val="00C34CEC"/>
    <w:rsid w:val="00C35B90"/>
    <w:rsid w:val="00C35E76"/>
    <w:rsid w:val="00C35E8B"/>
    <w:rsid w:val="00C35E9E"/>
    <w:rsid w:val="00C36419"/>
    <w:rsid w:val="00C40668"/>
    <w:rsid w:val="00C406B6"/>
    <w:rsid w:val="00C4074F"/>
    <w:rsid w:val="00C4097E"/>
    <w:rsid w:val="00C40BCE"/>
    <w:rsid w:val="00C411FE"/>
    <w:rsid w:val="00C41300"/>
    <w:rsid w:val="00C41405"/>
    <w:rsid w:val="00C416D4"/>
    <w:rsid w:val="00C41AED"/>
    <w:rsid w:val="00C41C22"/>
    <w:rsid w:val="00C41E04"/>
    <w:rsid w:val="00C42244"/>
    <w:rsid w:val="00C42385"/>
    <w:rsid w:val="00C4277B"/>
    <w:rsid w:val="00C42944"/>
    <w:rsid w:val="00C4297A"/>
    <w:rsid w:val="00C42B8C"/>
    <w:rsid w:val="00C42BCE"/>
    <w:rsid w:val="00C43724"/>
    <w:rsid w:val="00C43A8B"/>
    <w:rsid w:val="00C43D7D"/>
    <w:rsid w:val="00C445E1"/>
    <w:rsid w:val="00C44D6D"/>
    <w:rsid w:val="00C44ED7"/>
    <w:rsid w:val="00C4502B"/>
    <w:rsid w:val="00C455E8"/>
    <w:rsid w:val="00C45B98"/>
    <w:rsid w:val="00C45D11"/>
    <w:rsid w:val="00C461B2"/>
    <w:rsid w:val="00C4647B"/>
    <w:rsid w:val="00C4679F"/>
    <w:rsid w:val="00C46EEB"/>
    <w:rsid w:val="00C47783"/>
    <w:rsid w:val="00C47DDF"/>
    <w:rsid w:val="00C47E73"/>
    <w:rsid w:val="00C50373"/>
    <w:rsid w:val="00C50555"/>
    <w:rsid w:val="00C507D5"/>
    <w:rsid w:val="00C508CC"/>
    <w:rsid w:val="00C510B4"/>
    <w:rsid w:val="00C519B6"/>
    <w:rsid w:val="00C51AB6"/>
    <w:rsid w:val="00C51E86"/>
    <w:rsid w:val="00C52104"/>
    <w:rsid w:val="00C52106"/>
    <w:rsid w:val="00C52137"/>
    <w:rsid w:val="00C52734"/>
    <w:rsid w:val="00C52C52"/>
    <w:rsid w:val="00C5322D"/>
    <w:rsid w:val="00C5350F"/>
    <w:rsid w:val="00C537DD"/>
    <w:rsid w:val="00C53AC9"/>
    <w:rsid w:val="00C53F0F"/>
    <w:rsid w:val="00C5410C"/>
    <w:rsid w:val="00C5423D"/>
    <w:rsid w:val="00C5460F"/>
    <w:rsid w:val="00C546F7"/>
    <w:rsid w:val="00C54725"/>
    <w:rsid w:val="00C5472B"/>
    <w:rsid w:val="00C54B48"/>
    <w:rsid w:val="00C54BAC"/>
    <w:rsid w:val="00C54E83"/>
    <w:rsid w:val="00C54FD8"/>
    <w:rsid w:val="00C54FE2"/>
    <w:rsid w:val="00C55577"/>
    <w:rsid w:val="00C55960"/>
    <w:rsid w:val="00C559A0"/>
    <w:rsid w:val="00C55C74"/>
    <w:rsid w:val="00C55F71"/>
    <w:rsid w:val="00C56370"/>
    <w:rsid w:val="00C56B91"/>
    <w:rsid w:val="00C56D9F"/>
    <w:rsid w:val="00C56E89"/>
    <w:rsid w:val="00C56E8A"/>
    <w:rsid w:val="00C57107"/>
    <w:rsid w:val="00C57130"/>
    <w:rsid w:val="00C572E5"/>
    <w:rsid w:val="00C57454"/>
    <w:rsid w:val="00C578DE"/>
    <w:rsid w:val="00C57BDF"/>
    <w:rsid w:val="00C601AD"/>
    <w:rsid w:val="00C60403"/>
    <w:rsid w:val="00C604D8"/>
    <w:rsid w:val="00C6093A"/>
    <w:rsid w:val="00C60B3B"/>
    <w:rsid w:val="00C60B5F"/>
    <w:rsid w:val="00C60C18"/>
    <w:rsid w:val="00C60F7E"/>
    <w:rsid w:val="00C6138F"/>
    <w:rsid w:val="00C615C0"/>
    <w:rsid w:val="00C619C3"/>
    <w:rsid w:val="00C61F94"/>
    <w:rsid w:val="00C6223F"/>
    <w:rsid w:val="00C627BE"/>
    <w:rsid w:val="00C62CC2"/>
    <w:rsid w:val="00C63030"/>
    <w:rsid w:val="00C6303F"/>
    <w:rsid w:val="00C63249"/>
    <w:rsid w:val="00C633F1"/>
    <w:rsid w:val="00C6351C"/>
    <w:rsid w:val="00C6362C"/>
    <w:rsid w:val="00C63FC1"/>
    <w:rsid w:val="00C644D4"/>
    <w:rsid w:val="00C6451C"/>
    <w:rsid w:val="00C64745"/>
    <w:rsid w:val="00C64849"/>
    <w:rsid w:val="00C64EB2"/>
    <w:rsid w:val="00C65552"/>
    <w:rsid w:val="00C6575A"/>
    <w:rsid w:val="00C6596C"/>
    <w:rsid w:val="00C65E77"/>
    <w:rsid w:val="00C66294"/>
    <w:rsid w:val="00C66547"/>
    <w:rsid w:val="00C6662F"/>
    <w:rsid w:val="00C6697C"/>
    <w:rsid w:val="00C669E0"/>
    <w:rsid w:val="00C66A22"/>
    <w:rsid w:val="00C66AC6"/>
    <w:rsid w:val="00C66E16"/>
    <w:rsid w:val="00C673E8"/>
    <w:rsid w:val="00C6760E"/>
    <w:rsid w:val="00C67B66"/>
    <w:rsid w:val="00C67DE9"/>
    <w:rsid w:val="00C67E5B"/>
    <w:rsid w:val="00C70078"/>
    <w:rsid w:val="00C70228"/>
    <w:rsid w:val="00C70401"/>
    <w:rsid w:val="00C709CC"/>
    <w:rsid w:val="00C70A49"/>
    <w:rsid w:val="00C71BF3"/>
    <w:rsid w:val="00C7201F"/>
    <w:rsid w:val="00C7236D"/>
    <w:rsid w:val="00C7279B"/>
    <w:rsid w:val="00C727DF"/>
    <w:rsid w:val="00C72863"/>
    <w:rsid w:val="00C730C0"/>
    <w:rsid w:val="00C73442"/>
    <w:rsid w:val="00C7367D"/>
    <w:rsid w:val="00C73964"/>
    <w:rsid w:val="00C73ACD"/>
    <w:rsid w:val="00C73AEE"/>
    <w:rsid w:val="00C73C28"/>
    <w:rsid w:val="00C73C52"/>
    <w:rsid w:val="00C7445C"/>
    <w:rsid w:val="00C7475B"/>
    <w:rsid w:val="00C74A70"/>
    <w:rsid w:val="00C74F86"/>
    <w:rsid w:val="00C75238"/>
    <w:rsid w:val="00C7595C"/>
    <w:rsid w:val="00C75B45"/>
    <w:rsid w:val="00C75F81"/>
    <w:rsid w:val="00C7628F"/>
    <w:rsid w:val="00C76328"/>
    <w:rsid w:val="00C763F7"/>
    <w:rsid w:val="00C774B7"/>
    <w:rsid w:val="00C77914"/>
    <w:rsid w:val="00C77AED"/>
    <w:rsid w:val="00C77FE0"/>
    <w:rsid w:val="00C80E60"/>
    <w:rsid w:val="00C810AC"/>
    <w:rsid w:val="00C81677"/>
    <w:rsid w:val="00C82580"/>
    <w:rsid w:val="00C825F3"/>
    <w:rsid w:val="00C826AA"/>
    <w:rsid w:val="00C8296F"/>
    <w:rsid w:val="00C82BB3"/>
    <w:rsid w:val="00C82F9F"/>
    <w:rsid w:val="00C831DC"/>
    <w:rsid w:val="00C8366A"/>
    <w:rsid w:val="00C83FDA"/>
    <w:rsid w:val="00C84095"/>
    <w:rsid w:val="00C844E2"/>
    <w:rsid w:val="00C8470B"/>
    <w:rsid w:val="00C8486A"/>
    <w:rsid w:val="00C8490C"/>
    <w:rsid w:val="00C8518B"/>
    <w:rsid w:val="00C8536C"/>
    <w:rsid w:val="00C8567C"/>
    <w:rsid w:val="00C85C72"/>
    <w:rsid w:val="00C85F75"/>
    <w:rsid w:val="00C869BE"/>
    <w:rsid w:val="00C86AED"/>
    <w:rsid w:val="00C86D81"/>
    <w:rsid w:val="00C87322"/>
    <w:rsid w:val="00C876AC"/>
    <w:rsid w:val="00C8782C"/>
    <w:rsid w:val="00C87A62"/>
    <w:rsid w:val="00C87FF5"/>
    <w:rsid w:val="00C903B5"/>
    <w:rsid w:val="00C90D79"/>
    <w:rsid w:val="00C90DCA"/>
    <w:rsid w:val="00C90DDD"/>
    <w:rsid w:val="00C90DF8"/>
    <w:rsid w:val="00C91060"/>
    <w:rsid w:val="00C91EDC"/>
    <w:rsid w:val="00C9215E"/>
    <w:rsid w:val="00C922FC"/>
    <w:rsid w:val="00C9232D"/>
    <w:rsid w:val="00C9242B"/>
    <w:rsid w:val="00C92A22"/>
    <w:rsid w:val="00C92B50"/>
    <w:rsid w:val="00C92F45"/>
    <w:rsid w:val="00C92FCE"/>
    <w:rsid w:val="00C93054"/>
    <w:rsid w:val="00C9321C"/>
    <w:rsid w:val="00C932D8"/>
    <w:rsid w:val="00C93568"/>
    <w:rsid w:val="00C93893"/>
    <w:rsid w:val="00C93A85"/>
    <w:rsid w:val="00C93BF9"/>
    <w:rsid w:val="00C93DFD"/>
    <w:rsid w:val="00C942CD"/>
    <w:rsid w:val="00C946E0"/>
    <w:rsid w:val="00C9491C"/>
    <w:rsid w:val="00C94A53"/>
    <w:rsid w:val="00C94D63"/>
    <w:rsid w:val="00C9544B"/>
    <w:rsid w:val="00C9589F"/>
    <w:rsid w:val="00C9683B"/>
    <w:rsid w:val="00C96DC0"/>
    <w:rsid w:val="00C97533"/>
    <w:rsid w:val="00C975CF"/>
    <w:rsid w:val="00C97850"/>
    <w:rsid w:val="00C9791B"/>
    <w:rsid w:val="00C97A24"/>
    <w:rsid w:val="00C97BB2"/>
    <w:rsid w:val="00C97D1A"/>
    <w:rsid w:val="00C97EF6"/>
    <w:rsid w:val="00C97FDF"/>
    <w:rsid w:val="00CA023D"/>
    <w:rsid w:val="00CA030B"/>
    <w:rsid w:val="00CA06DD"/>
    <w:rsid w:val="00CA0839"/>
    <w:rsid w:val="00CA09B3"/>
    <w:rsid w:val="00CA0FD9"/>
    <w:rsid w:val="00CA11F8"/>
    <w:rsid w:val="00CA164D"/>
    <w:rsid w:val="00CA2B36"/>
    <w:rsid w:val="00CA31DA"/>
    <w:rsid w:val="00CA322C"/>
    <w:rsid w:val="00CA35CA"/>
    <w:rsid w:val="00CA3BB8"/>
    <w:rsid w:val="00CA3EAC"/>
    <w:rsid w:val="00CA40CD"/>
    <w:rsid w:val="00CA44A6"/>
    <w:rsid w:val="00CA4884"/>
    <w:rsid w:val="00CA48D7"/>
    <w:rsid w:val="00CA5420"/>
    <w:rsid w:val="00CA56A9"/>
    <w:rsid w:val="00CA575B"/>
    <w:rsid w:val="00CA5BF2"/>
    <w:rsid w:val="00CA5D3A"/>
    <w:rsid w:val="00CA6392"/>
    <w:rsid w:val="00CA6575"/>
    <w:rsid w:val="00CA6F94"/>
    <w:rsid w:val="00CA715B"/>
    <w:rsid w:val="00CA732B"/>
    <w:rsid w:val="00CA75A4"/>
    <w:rsid w:val="00CA7602"/>
    <w:rsid w:val="00CA7AA1"/>
    <w:rsid w:val="00CB0960"/>
    <w:rsid w:val="00CB131C"/>
    <w:rsid w:val="00CB1669"/>
    <w:rsid w:val="00CB1F08"/>
    <w:rsid w:val="00CB36B2"/>
    <w:rsid w:val="00CB3B1C"/>
    <w:rsid w:val="00CB3C7E"/>
    <w:rsid w:val="00CB3F23"/>
    <w:rsid w:val="00CB438A"/>
    <w:rsid w:val="00CB483A"/>
    <w:rsid w:val="00CB4BD9"/>
    <w:rsid w:val="00CB5053"/>
    <w:rsid w:val="00CB5633"/>
    <w:rsid w:val="00CB5705"/>
    <w:rsid w:val="00CB57B5"/>
    <w:rsid w:val="00CB58B6"/>
    <w:rsid w:val="00CB5E46"/>
    <w:rsid w:val="00CB5F97"/>
    <w:rsid w:val="00CB647E"/>
    <w:rsid w:val="00CB7328"/>
    <w:rsid w:val="00CB7569"/>
    <w:rsid w:val="00CB7ABC"/>
    <w:rsid w:val="00CB7C73"/>
    <w:rsid w:val="00CB7D82"/>
    <w:rsid w:val="00CB7E41"/>
    <w:rsid w:val="00CC0034"/>
    <w:rsid w:val="00CC036A"/>
    <w:rsid w:val="00CC03B9"/>
    <w:rsid w:val="00CC0B15"/>
    <w:rsid w:val="00CC0B3C"/>
    <w:rsid w:val="00CC10A7"/>
    <w:rsid w:val="00CC2616"/>
    <w:rsid w:val="00CC26AE"/>
    <w:rsid w:val="00CC28AF"/>
    <w:rsid w:val="00CC2A39"/>
    <w:rsid w:val="00CC2E61"/>
    <w:rsid w:val="00CC31A5"/>
    <w:rsid w:val="00CC321B"/>
    <w:rsid w:val="00CC349C"/>
    <w:rsid w:val="00CC360A"/>
    <w:rsid w:val="00CC403D"/>
    <w:rsid w:val="00CC408C"/>
    <w:rsid w:val="00CC45CB"/>
    <w:rsid w:val="00CC4C37"/>
    <w:rsid w:val="00CC548A"/>
    <w:rsid w:val="00CC5A2E"/>
    <w:rsid w:val="00CC5FD7"/>
    <w:rsid w:val="00CC6DD7"/>
    <w:rsid w:val="00CC7AFD"/>
    <w:rsid w:val="00CC7B24"/>
    <w:rsid w:val="00CC7F37"/>
    <w:rsid w:val="00CD01AD"/>
    <w:rsid w:val="00CD0572"/>
    <w:rsid w:val="00CD0787"/>
    <w:rsid w:val="00CD0CB9"/>
    <w:rsid w:val="00CD0DA2"/>
    <w:rsid w:val="00CD10D4"/>
    <w:rsid w:val="00CD1240"/>
    <w:rsid w:val="00CD12B2"/>
    <w:rsid w:val="00CD16D6"/>
    <w:rsid w:val="00CD20AD"/>
    <w:rsid w:val="00CD213E"/>
    <w:rsid w:val="00CD26D7"/>
    <w:rsid w:val="00CD2C94"/>
    <w:rsid w:val="00CD2F14"/>
    <w:rsid w:val="00CD3533"/>
    <w:rsid w:val="00CD4213"/>
    <w:rsid w:val="00CD4840"/>
    <w:rsid w:val="00CD4D00"/>
    <w:rsid w:val="00CD4FF9"/>
    <w:rsid w:val="00CD5272"/>
    <w:rsid w:val="00CD5618"/>
    <w:rsid w:val="00CD5ADD"/>
    <w:rsid w:val="00CD5E7F"/>
    <w:rsid w:val="00CD6599"/>
    <w:rsid w:val="00CD688E"/>
    <w:rsid w:val="00CD6D35"/>
    <w:rsid w:val="00CD6FD4"/>
    <w:rsid w:val="00CD7218"/>
    <w:rsid w:val="00CD7234"/>
    <w:rsid w:val="00CD7279"/>
    <w:rsid w:val="00CE08D6"/>
    <w:rsid w:val="00CE0D7B"/>
    <w:rsid w:val="00CE0D89"/>
    <w:rsid w:val="00CE1069"/>
    <w:rsid w:val="00CE14AB"/>
    <w:rsid w:val="00CE17BD"/>
    <w:rsid w:val="00CE1980"/>
    <w:rsid w:val="00CE1D4A"/>
    <w:rsid w:val="00CE21B8"/>
    <w:rsid w:val="00CE28B3"/>
    <w:rsid w:val="00CE2AAA"/>
    <w:rsid w:val="00CE2F66"/>
    <w:rsid w:val="00CE312A"/>
    <w:rsid w:val="00CE3158"/>
    <w:rsid w:val="00CE36A8"/>
    <w:rsid w:val="00CE3A92"/>
    <w:rsid w:val="00CE3DED"/>
    <w:rsid w:val="00CE3DF6"/>
    <w:rsid w:val="00CE457D"/>
    <w:rsid w:val="00CE465B"/>
    <w:rsid w:val="00CE4BC9"/>
    <w:rsid w:val="00CE4BD4"/>
    <w:rsid w:val="00CE4E35"/>
    <w:rsid w:val="00CE501E"/>
    <w:rsid w:val="00CE5282"/>
    <w:rsid w:val="00CE539B"/>
    <w:rsid w:val="00CE7117"/>
    <w:rsid w:val="00CE73B8"/>
    <w:rsid w:val="00CE74A4"/>
    <w:rsid w:val="00CE74CB"/>
    <w:rsid w:val="00CE76E0"/>
    <w:rsid w:val="00CE7FBB"/>
    <w:rsid w:val="00CF0043"/>
    <w:rsid w:val="00CF022C"/>
    <w:rsid w:val="00CF0523"/>
    <w:rsid w:val="00CF089C"/>
    <w:rsid w:val="00CF0BCD"/>
    <w:rsid w:val="00CF1898"/>
    <w:rsid w:val="00CF1930"/>
    <w:rsid w:val="00CF1A33"/>
    <w:rsid w:val="00CF1E2A"/>
    <w:rsid w:val="00CF2226"/>
    <w:rsid w:val="00CF26E1"/>
    <w:rsid w:val="00CF2ABB"/>
    <w:rsid w:val="00CF2B29"/>
    <w:rsid w:val="00CF31CA"/>
    <w:rsid w:val="00CF49AB"/>
    <w:rsid w:val="00CF4B67"/>
    <w:rsid w:val="00CF4B78"/>
    <w:rsid w:val="00CF4BB0"/>
    <w:rsid w:val="00CF4BF2"/>
    <w:rsid w:val="00CF5267"/>
    <w:rsid w:val="00CF532E"/>
    <w:rsid w:val="00CF5917"/>
    <w:rsid w:val="00CF5C03"/>
    <w:rsid w:val="00CF60B0"/>
    <w:rsid w:val="00CF61FE"/>
    <w:rsid w:val="00CF63AC"/>
    <w:rsid w:val="00CF6D17"/>
    <w:rsid w:val="00CF6F75"/>
    <w:rsid w:val="00CF767D"/>
    <w:rsid w:val="00CF7A70"/>
    <w:rsid w:val="00D00201"/>
    <w:rsid w:val="00D00518"/>
    <w:rsid w:val="00D00D1B"/>
    <w:rsid w:val="00D01186"/>
    <w:rsid w:val="00D01519"/>
    <w:rsid w:val="00D0168A"/>
    <w:rsid w:val="00D0188A"/>
    <w:rsid w:val="00D01D81"/>
    <w:rsid w:val="00D02047"/>
    <w:rsid w:val="00D0204D"/>
    <w:rsid w:val="00D02736"/>
    <w:rsid w:val="00D0282D"/>
    <w:rsid w:val="00D031D0"/>
    <w:rsid w:val="00D039BC"/>
    <w:rsid w:val="00D03D02"/>
    <w:rsid w:val="00D0400F"/>
    <w:rsid w:val="00D04344"/>
    <w:rsid w:val="00D0450E"/>
    <w:rsid w:val="00D04BCB"/>
    <w:rsid w:val="00D05547"/>
    <w:rsid w:val="00D05796"/>
    <w:rsid w:val="00D06201"/>
    <w:rsid w:val="00D068AC"/>
    <w:rsid w:val="00D06A71"/>
    <w:rsid w:val="00D06ECB"/>
    <w:rsid w:val="00D07041"/>
    <w:rsid w:val="00D07394"/>
    <w:rsid w:val="00D074A7"/>
    <w:rsid w:val="00D07516"/>
    <w:rsid w:val="00D0772F"/>
    <w:rsid w:val="00D07804"/>
    <w:rsid w:val="00D07DC5"/>
    <w:rsid w:val="00D1004A"/>
    <w:rsid w:val="00D10186"/>
    <w:rsid w:val="00D107CF"/>
    <w:rsid w:val="00D10875"/>
    <w:rsid w:val="00D114D8"/>
    <w:rsid w:val="00D11784"/>
    <w:rsid w:val="00D11D7F"/>
    <w:rsid w:val="00D11DE1"/>
    <w:rsid w:val="00D12181"/>
    <w:rsid w:val="00D1219A"/>
    <w:rsid w:val="00D12255"/>
    <w:rsid w:val="00D1266B"/>
    <w:rsid w:val="00D126E8"/>
    <w:rsid w:val="00D1276C"/>
    <w:rsid w:val="00D12EA4"/>
    <w:rsid w:val="00D1303B"/>
    <w:rsid w:val="00D138F8"/>
    <w:rsid w:val="00D13AF7"/>
    <w:rsid w:val="00D13E75"/>
    <w:rsid w:val="00D13E8B"/>
    <w:rsid w:val="00D13F37"/>
    <w:rsid w:val="00D14292"/>
    <w:rsid w:val="00D144E5"/>
    <w:rsid w:val="00D14842"/>
    <w:rsid w:val="00D14A9A"/>
    <w:rsid w:val="00D15347"/>
    <w:rsid w:val="00D154F5"/>
    <w:rsid w:val="00D158B0"/>
    <w:rsid w:val="00D159A0"/>
    <w:rsid w:val="00D15C68"/>
    <w:rsid w:val="00D15F61"/>
    <w:rsid w:val="00D15FBC"/>
    <w:rsid w:val="00D16416"/>
    <w:rsid w:val="00D1648B"/>
    <w:rsid w:val="00D165FE"/>
    <w:rsid w:val="00D16DD4"/>
    <w:rsid w:val="00D17451"/>
    <w:rsid w:val="00D17A3B"/>
    <w:rsid w:val="00D17DFD"/>
    <w:rsid w:val="00D17FF9"/>
    <w:rsid w:val="00D2072D"/>
    <w:rsid w:val="00D209D8"/>
    <w:rsid w:val="00D215CB"/>
    <w:rsid w:val="00D2170E"/>
    <w:rsid w:val="00D217BD"/>
    <w:rsid w:val="00D21A76"/>
    <w:rsid w:val="00D220D1"/>
    <w:rsid w:val="00D2228C"/>
    <w:rsid w:val="00D222B4"/>
    <w:rsid w:val="00D223F1"/>
    <w:rsid w:val="00D22548"/>
    <w:rsid w:val="00D2260B"/>
    <w:rsid w:val="00D226E6"/>
    <w:rsid w:val="00D23383"/>
    <w:rsid w:val="00D23699"/>
    <w:rsid w:val="00D23A34"/>
    <w:rsid w:val="00D23C23"/>
    <w:rsid w:val="00D23E62"/>
    <w:rsid w:val="00D24323"/>
    <w:rsid w:val="00D245FE"/>
    <w:rsid w:val="00D246B0"/>
    <w:rsid w:val="00D24D6C"/>
    <w:rsid w:val="00D24F19"/>
    <w:rsid w:val="00D2505D"/>
    <w:rsid w:val="00D254CA"/>
    <w:rsid w:val="00D256C0"/>
    <w:rsid w:val="00D25A63"/>
    <w:rsid w:val="00D25C3E"/>
    <w:rsid w:val="00D25DD0"/>
    <w:rsid w:val="00D25E17"/>
    <w:rsid w:val="00D260F5"/>
    <w:rsid w:val="00D26799"/>
    <w:rsid w:val="00D267CF"/>
    <w:rsid w:val="00D269F2"/>
    <w:rsid w:val="00D26AF6"/>
    <w:rsid w:val="00D26DA2"/>
    <w:rsid w:val="00D26FB6"/>
    <w:rsid w:val="00D27179"/>
    <w:rsid w:val="00D27779"/>
    <w:rsid w:val="00D27A16"/>
    <w:rsid w:val="00D3043A"/>
    <w:rsid w:val="00D3044B"/>
    <w:rsid w:val="00D308DE"/>
    <w:rsid w:val="00D3095F"/>
    <w:rsid w:val="00D309B1"/>
    <w:rsid w:val="00D30FCB"/>
    <w:rsid w:val="00D311D0"/>
    <w:rsid w:val="00D31A65"/>
    <w:rsid w:val="00D31DE8"/>
    <w:rsid w:val="00D31EE8"/>
    <w:rsid w:val="00D32A17"/>
    <w:rsid w:val="00D32B83"/>
    <w:rsid w:val="00D32E4F"/>
    <w:rsid w:val="00D333CA"/>
    <w:rsid w:val="00D33CA8"/>
    <w:rsid w:val="00D34BD6"/>
    <w:rsid w:val="00D34BFC"/>
    <w:rsid w:val="00D34F40"/>
    <w:rsid w:val="00D3500C"/>
    <w:rsid w:val="00D3537E"/>
    <w:rsid w:val="00D35C40"/>
    <w:rsid w:val="00D35DB5"/>
    <w:rsid w:val="00D36116"/>
    <w:rsid w:val="00D36146"/>
    <w:rsid w:val="00D36DDC"/>
    <w:rsid w:val="00D3731C"/>
    <w:rsid w:val="00D37558"/>
    <w:rsid w:val="00D378F0"/>
    <w:rsid w:val="00D40198"/>
    <w:rsid w:val="00D409BA"/>
    <w:rsid w:val="00D40A13"/>
    <w:rsid w:val="00D40BCF"/>
    <w:rsid w:val="00D40C65"/>
    <w:rsid w:val="00D4114B"/>
    <w:rsid w:val="00D4123E"/>
    <w:rsid w:val="00D41851"/>
    <w:rsid w:val="00D41AEC"/>
    <w:rsid w:val="00D43176"/>
    <w:rsid w:val="00D4346A"/>
    <w:rsid w:val="00D441C3"/>
    <w:rsid w:val="00D44606"/>
    <w:rsid w:val="00D44CD2"/>
    <w:rsid w:val="00D456A4"/>
    <w:rsid w:val="00D45880"/>
    <w:rsid w:val="00D45C79"/>
    <w:rsid w:val="00D4617F"/>
    <w:rsid w:val="00D46376"/>
    <w:rsid w:val="00D46410"/>
    <w:rsid w:val="00D4667A"/>
    <w:rsid w:val="00D467D4"/>
    <w:rsid w:val="00D4691A"/>
    <w:rsid w:val="00D46E99"/>
    <w:rsid w:val="00D46EEE"/>
    <w:rsid w:val="00D47144"/>
    <w:rsid w:val="00D4725F"/>
    <w:rsid w:val="00D47488"/>
    <w:rsid w:val="00D47522"/>
    <w:rsid w:val="00D478D2"/>
    <w:rsid w:val="00D504B6"/>
    <w:rsid w:val="00D50923"/>
    <w:rsid w:val="00D50CE5"/>
    <w:rsid w:val="00D50D91"/>
    <w:rsid w:val="00D50EF5"/>
    <w:rsid w:val="00D510BF"/>
    <w:rsid w:val="00D513E1"/>
    <w:rsid w:val="00D51426"/>
    <w:rsid w:val="00D51DB0"/>
    <w:rsid w:val="00D51FA9"/>
    <w:rsid w:val="00D525F5"/>
    <w:rsid w:val="00D528CE"/>
    <w:rsid w:val="00D52966"/>
    <w:rsid w:val="00D52CCE"/>
    <w:rsid w:val="00D52EB2"/>
    <w:rsid w:val="00D53294"/>
    <w:rsid w:val="00D533B1"/>
    <w:rsid w:val="00D53EA3"/>
    <w:rsid w:val="00D54076"/>
    <w:rsid w:val="00D548BD"/>
    <w:rsid w:val="00D5494B"/>
    <w:rsid w:val="00D54B40"/>
    <w:rsid w:val="00D5527D"/>
    <w:rsid w:val="00D5574E"/>
    <w:rsid w:val="00D5605C"/>
    <w:rsid w:val="00D56465"/>
    <w:rsid w:val="00D56BAB"/>
    <w:rsid w:val="00D575AF"/>
    <w:rsid w:val="00D57821"/>
    <w:rsid w:val="00D5788C"/>
    <w:rsid w:val="00D57CF9"/>
    <w:rsid w:val="00D57E30"/>
    <w:rsid w:val="00D6021B"/>
    <w:rsid w:val="00D608BC"/>
    <w:rsid w:val="00D612DA"/>
    <w:rsid w:val="00D615C1"/>
    <w:rsid w:val="00D61FDE"/>
    <w:rsid w:val="00D620D5"/>
    <w:rsid w:val="00D620DB"/>
    <w:rsid w:val="00D62289"/>
    <w:rsid w:val="00D6252E"/>
    <w:rsid w:val="00D626D8"/>
    <w:rsid w:val="00D62DF6"/>
    <w:rsid w:val="00D631CF"/>
    <w:rsid w:val="00D637B4"/>
    <w:rsid w:val="00D639FC"/>
    <w:rsid w:val="00D646BA"/>
    <w:rsid w:val="00D649B1"/>
    <w:rsid w:val="00D65109"/>
    <w:rsid w:val="00D6519D"/>
    <w:rsid w:val="00D65659"/>
    <w:rsid w:val="00D65CB3"/>
    <w:rsid w:val="00D65EA9"/>
    <w:rsid w:val="00D6609F"/>
    <w:rsid w:val="00D665B8"/>
    <w:rsid w:val="00D66764"/>
    <w:rsid w:val="00D66D65"/>
    <w:rsid w:val="00D66E2C"/>
    <w:rsid w:val="00D66F42"/>
    <w:rsid w:val="00D671CA"/>
    <w:rsid w:val="00D673EC"/>
    <w:rsid w:val="00D6791C"/>
    <w:rsid w:val="00D67A2D"/>
    <w:rsid w:val="00D67AC1"/>
    <w:rsid w:val="00D67AC9"/>
    <w:rsid w:val="00D67DAD"/>
    <w:rsid w:val="00D67F92"/>
    <w:rsid w:val="00D67FC1"/>
    <w:rsid w:val="00D700B3"/>
    <w:rsid w:val="00D7044F"/>
    <w:rsid w:val="00D706FA"/>
    <w:rsid w:val="00D70909"/>
    <w:rsid w:val="00D70A65"/>
    <w:rsid w:val="00D70AC3"/>
    <w:rsid w:val="00D721EB"/>
    <w:rsid w:val="00D7225B"/>
    <w:rsid w:val="00D72999"/>
    <w:rsid w:val="00D72B78"/>
    <w:rsid w:val="00D732B3"/>
    <w:rsid w:val="00D73395"/>
    <w:rsid w:val="00D7340C"/>
    <w:rsid w:val="00D734AA"/>
    <w:rsid w:val="00D7350A"/>
    <w:rsid w:val="00D735FD"/>
    <w:rsid w:val="00D737F5"/>
    <w:rsid w:val="00D73BB3"/>
    <w:rsid w:val="00D73BC4"/>
    <w:rsid w:val="00D73D69"/>
    <w:rsid w:val="00D74434"/>
    <w:rsid w:val="00D74ABF"/>
    <w:rsid w:val="00D7577A"/>
    <w:rsid w:val="00D759BE"/>
    <w:rsid w:val="00D75DFA"/>
    <w:rsid w:val="00D767CA"/>
    <w:rsid w:val="00D76CF0"/>
    <w:rsid w:val="00D76EFD"/>
    <w:rsid w:val="00D773A0"/>
    <w:rsid w:val="00D77750"/>
    <w:rsid w:val="00D7798B"/>
    <w:rsid w:val="00D77C5A"/>
    <w:rsid w:val="00D77D3F"/>
    <w:rsid w:val="00D80959"/>
    <w:rsid w:val="00D80A18"/>
    <w:rsid w:val="00D81826"/>
    <w:rsid w:val="00D81932"/>
    <w:rsid w:val="00D826F6"/>
    <w:rsid w:val="00D830E2"/>
    <w:rsid w:val="00D83158"/>
    <w:rsid w:val="00D8334D"/>
    <w:rsid w:val="00D833FA"/>
    <w:rsid w:val="00D835C9"/>
    <w:rsid w:val="00D839C9"/>
    <w:rsid w:val="00D83FC0"/>
    <w:rsid w:val="00D84127"/>
    <w:rsid w:val="00D84B67"/>
    <w:rsid w:val="00D85062"/>
    <w:rsid w:val="00D85533"/>
    <w:rsid w:val="00D85B63"/>
    <w:rsid w:val="00D861FF"/>
    <w:rsid w:val="00D86816"/>
    <w:rsid w:val="00D86C4F"/>
    <w:rsid w:val="00D870FC"/>
    <w:rsid w:val="00D8716C"/>
    <w:rsid w:val="00D876CF"/>
    <w:rsid w:val="00D87879"/>
    <w:rsid w:val="00D87BC6"/>
    <w:rsid w:val="00D87DFA"/>
    <w:rsid w:val="00D87F84"/>
    <w:rsid w:val="00D907F0"/>
    <w:rsid w:val="00D91156"/>
    <w:rsid w:val="00D911F5"/>
    <w:rsid w:val="00D91863"/>
    <w:rsid w:val="00D91BB5"/>
    <w:rsid w:val="00D91C47"/>
    <w:rsid w:val="00D92C9D"/>
    <w:rsid w:val="00D92E34"/>
    <w:rsid w:val="00D934D3"/>
    <w:rsid w:val="00D93F18"/>
    <w:rsid w:val="00D93FB1"/>
    <w:rsid w:val="00D94421"/>
    <w:rsid w:val="00D945E0"/>
    <w:rsid w:val="00D95394"/>
    <w:rsid w:val="00D953E7"/>
    <w:rsid w:val="00D9589C"/>
    <w:rsid w:val="00D95DAE"/>
    <w:rsid w:val="00D9604A"/>
    <w:rsid w:val="00D96708"/>
    <w:rsid w:val="00D969AE"/>
    <w:rsid w:val="00D96CF9"/>
    <w:rsid w:val="00D96EB0"/>
    <w:rsid w:val="00D97173"/>
    <w:rsid w:val="00D971E9"/>
    <w:rsid w:val="00D973C3"/>
    <w:rsid w:val="00D97D2D"/>
    <w:rsid w:val="00D97F7D"/>
    <w:rsid w:val="00DA0328"/>
    <w:rsid w:val="00DA0496"/>
    <w:rsid w:val="00DA04A4"/>
    <w:rsid w:val="00DA04DC"/>
    <w:rsid w:val="00DA0DCF"/>
    <w:rsid w:val="00DA14EE"/>
    <w:rsid w:val="00DA184D"/>
    <w:rsid w:val="00DA1C0D"/>
    <w:rsid w:val="00DA2E17"/>
    <w:rsid w:val="00DA3752"/>
    <w:rsid w:val="00DA4300"/>
    <w:rsid w:val="00DA4556"/>
    <w:rsid w:val="00DA4607"/>
    <w:rsid w:val="00DA48A8"/>
    <w:rsid w:val="00DA4951"/>
    <w:rsid w:val="00DA4D1E"/>
    <w:rsid w:val="00DA5535"/>
    <w:rsid w:val="00DA5669"/>
    <w:rsid w:val="00DA588B"/>
    <w:rsid w:val="00DA621E"/>
    <w:rsid w:val="00DA65EE"/>
    <w:rsid w:val="00DA67F3"/>
    <w:rsid w:val="00DA6CA1"/>
    <w:rsid w:val="00DA6E05"/>
    <w:rsid w:val="00DA6E42"/>
    <w:rsid w:val="00DA79F4"/>
    <w:rsid w:val="00DA7F37"/>
    <w:rsid w:val="00DB027C"/>
    <w:rsid w:val="00DB0D16"/>
    <w:rsid w:val="00DB10A8"/>
    <w:rsid w:val="00DB1320"/>
    <w:rsid w:val="00DB141C"/>
    <w:rsid w:val="00DB1775"/>
    <w:rsid w:val="00DB1A44"/>
    <w:rsid w:val="00DB26A1"/>
    <w:rsid w:val="00DB276F"/>
    <w:rsid w:val="00DB2966"/>
    <w:rsid w:val="00DB2CBB"/>
    <w:rsid w:val="00DB3A0C"/>
    <w:rsid w:val="00DB3F48"/>
    <w:rsid w:val="00DB4725"/>
    <w:rsid w:val="00DB4821"/>
    <w:rsid w:val="00DB49CA"/>
    <w:rsid w:val="00DB4B92"/>
    <w:rsid w:val="00DB4C62"/>
    <w:rsid w:val="00DB4CB9"/>
    <w:rsid w:val="00DB4D4F"/>
    <w:rsid w:val="00DB59A8"/>
    <w:rsid w:val="00DB65A7"/>
    <w:rsid w:val="00DB66C2"/>
    <w:rsid w:val="00DB6A9A"/>
    <w:rsid w:val="00DB6A9E"/>
    <w:rsid w:val="00DB6DD8"/>
    <w:rsid w:val="00DB6E9A"/>
    <w:rsid w:val="00DB6F1E"/>
    <w:rsid w:val="00DB74A5"/>
    <w:rsid w:val="00DB78ED"/>
    <w:rsid w:val="00DB7DC3"/>
    <w:rsid w:val="00DC00E4"/>
    <w:rsid w:val="00DC0203"/>
    <w:rsid w:val="00DC033B"/>
    <w:rsid w:val="00DC04F7"/>
    <w:rsid w:val="00DC0D72"/>
    <w:rsid w:val="00DC0EA0"/>
    <w:rsid w:val="00DC0FAE"/>
    <w:rsid w:val="00DC1668"/>
    <w:rsid w:val="00DC1C66"/>
    <w:rsid w:val="00DC1F21"/>
    <w:rsid w:val="00DC284A"/>
    <w:rsid w:val="00DC2916"/>
    <w:rsid w:val="00DC2930"/>
    <w:rsid w:val="00DC2A61"/>
    <w:rsid w:val="00DC2A89"/>
    <w:rsid w:val="00DC2B2B"/>
    <w:rsid w:val="00DC2B5D"/>
    <w:rsid w:val="00DC303B"/>
    <w:rsid w:val="00DC4421"/>
    <w:rsid w:val="00DC4470"/>
    <w:rsid w:val="00DC46E9"/>
    <w:rsid w:val="00DC4C91"/>
    <w:rsid w:val="00DC53D4"/>
    <w:rsid w:val="00DC5C54"/>
    <w:rsid w:val="00DC5ED1"/>
    <w:rsid w:val="00DC6096"/>
    <w:rsid w:val="00DC68F7"/>
    <w:rsid w:val="00DC6C27"/>
    <w:rsid w:val="00DD00BD"/>
    <w:rsid w:val="00DD0127"/>
    <w:rsid w:val="00DD049B"/>
    <w:rsid w:val="00DD04B3"/>
    <w:rsid w:val="00DD0631"/>
    <w:rsid w:val="00DD0C63"/>
    <w:rsid w:val="00DD0E1B"/>
    <w:rsid w:val="00DD1283"/>
    <w:rsid w:val="00DD1B09"/>
    <w:rsid w:val="00DD2014"/>
    <w:rsid w:val="00DD2336"/>
    <w:rsid w:val="00DD2447"/>
    <w:rsid w:val="00DD2546"/>
    <w:rsid w:val="00DD370E"/>
    <w:rsid w:val="00DD37D6"/>
    <w:rsid w:val="00DD40D5"/>
    <w:rsid w:val="00DD4A07"/>
    <w:rsid w:val="00DD4A97"/>
    <w:rsid w:val="00DD4D2B"/>
    <w:rsid w:val="00DD4E96"/>
    <w:rsid w:val="00DD514C"/>
    <w:rsid w:val="00DD549B"/>
    <w:rsid w:val="00DD5525"/>
    <w:rsid w:val="00DD5556"/>
    <w:rsid w:val="00DD5A6A"/>
    <w:rsid w:val="00DD6085"/>
    <w:rsid w:val="00DD66B0"/>
    <w:rsid w:val="00DD6D86"/>
    <w:rsid w:val="00DD7057"/>
    <w:rsid w:val="00DD73B3"/>
    <w:rsid w:val="00DD745B"/>
    <w:rsid w:val="00DD7490"/>
    <w:rsid w:val="00DD7D71"/>
    <w:rsid w:val="00DE02A6"/>
    <w:rsid w:val="00DE0598"/>
    <w:rsid w:val="00DE09E5"/>
    <w:rsid w:val="00DE0A18"/>
    <w:rsid w:val="00DE0C3F"/>
    <w:rsid w:val="00DE10FF"/>
    <w:rsid w:val="00DE16B3"/>
    <w:rsid w:val="00DE1A9A"/>
    <w:rsid w:val="00DE2067"/>
    <w:rsid w:val="00DE25A1"/>
    <w:rsid w:val="00DE2BB7"/>
    <w:rsid w:val="00DE3479"/>
    <w:rsid w:val="00DE35E8"/>
    <w:rsid w:val="00DE383F"/>
    <w:rsid w:val="00DE4266"/>
    <w:rsid w:val="00DE4C5B"/>
    <w:rsid w:val="00DE4CF9"/>
    <w:rsid w:val="00DE5555"/>
    <w:rsid w:val="00DE5789"/>
    <w:rsid w:val="00DE5F38"/>
    <w:rsid w:val="00DE60E6"/>
    <w:rsid w:val="00DE63A7"/>
    <w:rsid w:val="00DE6460"/>
    <w:rsid w:val="00DE6795"/>
    <w:rsid w:val="00DE6935"/>
    <w:rsid w:val="00DE6A1C"/>
    <w:rsid w:val="00DE6BB5"/>
    <w:rsid w:val="00DE6C26"/>
    <w:rsid w:val="00DE6F3E"/>
    <w:rsid w:val="00DE6F41"/>
    <w:rsid w:val="00DE6F83"/>
    <w:rsid w:val="00DE700E"/>
    <w:rsid w:val="00DE74BC"/>
    <w:rsid w:val="00DE7810"/>
    <w:rsid w:val="00DE790F"/>
    <w:rsid w:val="00DE7E7F"/>
    <w:rsid w:val="00DF008D"/>
    <w:rsid w:val="00DF0911"/>
    <w:rsid w:val="00DF0DEA"/>
    <w:rsid w:val="00DF1079"/>
    <w:rsid w:val="00DF14A9"/>
    <w:rsid w:val="00DF161C"/>
    <w:rsid w:val="00DF1D73"/>
    <w:rsid w:val="00DF21A2"/>
    <w:rsid w:val="00DF2616"/>
    <w:rsid w:val="00DF2CDB"/>
    <w:rsid w:val="00DF2D14"/>
    <w:rsid w:val="00DF2E6D"/>
    <w:rsid w:val="00DF30AA"/>
    <w:rsid w:val="00DF31AE"/>
    <w:rsid w:val="00DF327A"/>
    <w:rsid w:val="00DF3599"/>
    <w:rsid w:val="00DF4ED5"/>
    <w:rsid w:val="00DF57CB"/>
    <w:rsid w:val="00DF5E3D"/>
    <w:rsid w:val="00DF5F9B"/>
    <w:rsid w:val="00DF613F"/>
    <w:rsid w:val="00DF64B3"/>
    <w:rsid w:val="00DF6887"/>
    <w:rsid w:val="00DF6F2D"/>
    <w:rsid w:val="00DF72DF"/>
    <w:rsid w:val="00E00562"/>
    <w:rsid w:val="00E00A6E"/>
    <w:rsid w:val="00E00C9B"/>
    <w:rsid w:val="00E01B45"/>
    <w:rsid w:val="00E01C48"/>
    <w:rsid w:val="00E01C94"/>
    <w:rsid w:val="00E01CAB"/>
    <w:rsid w:val="00E01F4E"/>
    <w:rsid w:val="00E02825"/>
    <w:rsid w:val="00E0297E"/>
    <w:rsid w:val="00E03571"/>
    <w:rsid w:val="00E03A64"/>
    <w:rsid w:val="00E03B7C"/>
    <w:rsid w:val="00E04EC4"/>
    <w:rsid w:val="00E0534A"/>
    <w:rsid w:val="00E05956"/>
    <w:rsid w:val="00E05DDF"/>
    <w:rsid w:val="00E06D79"/>
    <w:rsid w:val="00E06E2E"/>
    <w:rsid w:val="00E072EC"/>
    <w:rsid w:val="00E07370"/>
    <w:rsid w:val="00E074C4"/>
    <w:rsid w:val="00E0773C"/>
    <w:rsid w:val="00E07989"/>
    <w:rsid w:val="00E07EFA"/>
    <w:rsid w:val="00E10801"/>
    <w:rsid w:val="00E10803"/>
    <w:rsid w:val="00E10A6A"/>
    <w:rsid w:val="00E10B42"/>
    <w:rsid w:val="00E1112A"/>
    <w:rsid w:val="00E11564"/>
    <w:rsid w:val="00E119AB"/>
    <w:rsid w:val="00E121CA"/>
    <w:rsid w:val="00E12491"/>
    <w:rsid w:val="00E12D4C"/>
    <w:rsid w:val="00E12D62"/>
    <w:rsid w:val="00E12E6E"/>
    <w:rsid w:val="00E132A4"/>
    <w:rsid w:val="00E13854"/>
    <w:rsid w:val="00E13929"/>
    <w:rsid w:val="00E1432C"/>
    <w:rsid w:val="00E14785"/>
    <w:rsid w:val="00E148C0"/>
    <w:rsid w:val="00E14AA3"/>
    <w:rsid w:val="00E14BEF"/>
    <w:rsid w:val="00E14E71"/>
    <w:rsid w:val="00E15527"/>
    <w:rsid w:val="00E15567"/>
    <w:rsid w:val="00E15DC0"/>
    <w:rsid w:val="00E16070"/>
    <w:rsid w:val="00E16430"/>
    <w:rsid w:val="00E16AF5"/>
    <w:rsid w:val="00E174D1"/>
    <w:rsid w:val="00E17788"/>
    <w:rsid w:val="00E17A41"/>
    <w:rsid w:val="00E20108"/>
    <w:rsid w:val="00E20604"/>
    <w:rsid w:val="00E2107C"/>
    <w:rsid w:val="00E2144E"/>
    <w:rsid w:val="00E2179E"/>
    <w:rsid w:val="00E21A5D"/>
    <w:rsid w:val="00E21AFD"/>
    <w:rsid w:val="00E21B14"/>
    <w:rsid w:val="00E21EAE"/>
    <w:rsid w:val="00E21F82"/>
    <w:rsid w:val="00E22154"/>
    <w:rsid w:val="00E22976"/>
    <w:rsid w:val="00E23B08"/>
    <w:rsid w:val="00E23D4B"/>
    <w:rsid w:val="00E24566"/>
    <w:rsid w:val="00E24672"/>
    <w:rsid w:val="00E2474C"/>
    <w:rsid w:val="00E24752"/>
    <w:rsid w:val="00E25297"/>
    <w:rsid w:val="00E25802"/>
    <w:rsid w:val="00E2592D"/>
    <w:rsid w:val="00E25C21"/>
    <w:rsid w:val="00E270D2"/>
    <w:rsid w:val="00E275C5"/>
    <w:rsid w:val="00E27830"/>
    <w:rsid w:val="00E27A7D"/>
    <w:rsid w:val="00E27CC1"/>
    <w:rsid w:val="00E27D07"/>
    <w:rsid w:val="00E27DB2"/>
    <w:rsid w:val="00E3075D"/>
    <w:rsid w:val="00E30BE3"/>
    <w:rsid w:val="00E30E71"/>
    <w:rsid w:val="00E31105"/>
    <w:rsid w:val="00E31D3E"/>
    <w:rsid w:val="00E31F4F"/>
    <w:rsid w:val="00E330BA"/>
    <w:rsid w:val="00E33D43"/>
    <w:rsid w:val="00E3433D"/>
    <w:rsid w:val="00E3457D"/>
    <w:rsid w:val="00E3478D"/>
    <w:rsid w:val="00E34A23"/>
    <w:rsid w:val="00E34B26"/>
    <w:rsid w:val="00E34F8D"/>
    <w:rsid w:val="00E351C4"/>
    <w:rsid w:val="00E3574A"/>
    <w:rsid w:val="00E3596D"/>
    <w:rsid w:val="00E35EF9"/>
    <w:rsid w:val="00E36426"/>
    <w:rsid w:val="00E36B92"/>
    <w:rsid w:val="00E36EB0"/>
    <w:rsid w:val="00E37083"/>
    <w:rsid w:val="00E371A0"/>
    <w:rsid w:val="00E371C9"/>
    <w:rsid w:val="00E377CE"/>
    <w:rsid w:val="00E3782F"/>
    <w:rsid w:val="00E37940"/>
    <w:rsid w:val="00E401BC"/>
    <w:rsid w:val="00E40231"/>
    <w:rsid w:val="00E40529"/>
    <w:rsid w:val="00E405EA"/>
    <w:rsid w:val="00E40F1B"/>
    <w:rsid w:val="00E4178B"/>
    <w:rsid w:val="00E41AEF"/>
    <w:rsid w:val="00E41B07"/>
    <w:rsid w:val="00E41C80"/>
    <w:rsid w:val="00E43199"/>
    <w:rsid w:val="00E4321D"/>
    <w:rsid w:val="00E43482"/>
    <w:rsid w:val="00E43A33"/>
    <w:rsid w:val="00E43E95"/>
    <w:rsid w:val="00E44705"/>
    <w:rsid w:val="00E452E1"/>
    <w:rsid w:val="00E456A9"/>
    <w:rsid w:val="00E45ADD"/>
    <w:rsid w:val="00E45C95"/>
    <w:rsid w:val="00E46060"/>
    <w:rsid w:val="00E4615B"/>
    <w:rsid w:val="00E46770"/>
    <w:rsid w:val="00E4698A"/>
    <w:rsid w:val="00E4723C"/>
    <w:rsid w:val="00E47711"/>
    <w:rsid w:val="00E47F5D"/>
    <w:rsid w:val="00E5049A"/>
    <w:rsid w:val="00E5062C"/>
    <w:rsid w:val="00E50717"/>
    <w:rsid w:val="00E50CB7"/>
    <w:rsid w:val="00E50E9C"/>
    <w:rsid w:val="00E50F84"/>
    <w:rsid w:val="00E50FAE"/>
    <w:rsid w:val="00E5144B"/>
    <w:rsid w:val="00E5146B"/>
    <w:rsid w:val="00E51527"/>
    <w:rsid w:val="00E515B9"/>
    <w:rsid w:val="00E5204B"/>
    <w:rsid w:val="00E5245C"/>
    <w:rsid w:val="00E529DF"/>
    <w:rsid w:val="00E5331F"/>
    <w:rsid w:val="00E53452"/>
    <w:rsid w:val="00E5357F"/>
    <w:rsid w:val="00E5379F"/>
    <w:rsid w:val="00E5380B"/>
    <w:rsid w:val="00E53898"/>
    <w:rsid w:val="00E53BFF"/>
    <w:rsid w:val="00E54022"/>
    <w:rsid w:val="00E54640"/>
    <w:rsid w:val="00E55169"/>
    <w:rsid w:val="00E555B0"/>
    <w:rsid w:val="00E55DA5"/>
    <w:rsid w:val="00E565C0"/>
    <w:rsid w:val="00E5691B"/>
    <w:rsid w:val="00E56A64"/>
    <w:rsid w:val="00E56D16"/>
    <w:rsid w:val="00E56EB4"/>
    <w:rsid w:val="00E573C3"/>
    <w:rsid w:val="00E57603"/>
    <w:rsid w:val="00E57B12"/>
    <w:rsid w:val="00E60350"/>
    <w:rsid w:val="00E60C06"/>
    <w:rsid w:val="00E60C52"/>
    <w:rsid w:val="00E60EF0"/>
    <w:rsid w:val="00E60EF8"/>
    <w:rsid w:val="00E610AB"/>
    <w:rsid w:val="00E612EB"/>
    <w:rsid w:val="00E612FD"/>
    <w:rsid w:val="00E616FD"/>
    <w:rsid w:val="00E6185E"/>
    <w:rsid w:val="00E61A5F"/>
    <w:rsid w:val="00E61A70"/>
    <w:rsid w:val="00E61D8A"/>
    <w:rsid w:val="00E61FEE"/>
    <w:rsid w:val="00E62009"/>
    <w:rsid w:val="00E62745"/>
    <w:rsid w:val="00E628BC"/>
    <w:rsid w:val="00E6301C"/>
    <w:rsid w:val="00E63712"/>
    <w:rsid w:val="00E637EF"/>
    <w:rsid w:val="00E63B49"/>
    <w:rsid w:val="00E64355"/>
    <w:rsid w:val="00E64C70"/>
    <w:rsid w:val="00E65937"/>
    <w:rsid w:val="00E65948"/>
    <w:rsid w:val="00E659B3"/>
    <w:rsid w:val="00E65B71"/>
    <w:rsid w:val="00E65B77"/>
    <w:rsid w:val="00E6689F"/>
    <w:rsid w:val="00E66BC9"/>
    <w:rsid w:val="00E66E4E"/>
    <w:rsid w:val="00E66EFC"/>
    <w:rsid w:val="00E67170"/>
    <w:rsid w:val="00E675C1"/>
    <w:rsid w:val="00E67776"/>
    <w:rsid w:val="00E678F3"/>
    <w:rsid w:val="00E67EAB"/>
    <w:rsid w:val="00E70118"/>
    <w:rsid w:val="00E70D7F"/>
    <w:rsid w:val="00E70D84"/>
    <w:rsid w:val="00E711C6"/>
    <w:rsid w:val="00E712AB"/>
    <w:rsid w:val="00E716C0"/>
    <w:rsid w:val="00E7183A"/>
    <w:rsid w:val="00E7192E"/>
    <w:rsid w:val="00E72736"/>
    <w:rsid w:val="00E72B20"/>
    <w:rsid w:val="00E72DAA"/>
    <w:rsid w:val="00E72FD6"/>
    <w:rsid w:val="00E73FFE"/>
    <w:rsid w:val="00E742EB"/>
    <w:rsid w:val="00E747C9"/>
    <w:rsid w:val="00E74ABB"/>
    <w:rsid w:val="00E74B8E"/>
    <w:rsid w:val="00E7511B"/>
    <w:rsid w:val="00E75417"/>
    <w:rsid w:val="00E757C8"/>
    <w:rsid w:val="00E75B8E"/>
    <w:rsid w:val="00E77AB3"/>
    <w:rsid w:val="00E77B68"/>
    <w:rsid w:val="00E77B85"/>
    <w:rsid w:val="00E77ED5"/>
    <w:rsid w:val="00E80504"/>
    <w:rsid w:val="00E8091F"/>
    <w:rsid w:val="00E8124C"/>
    <w:rsid w:val="00E816A1"/>
    <w:rsid w:val="00E8176A"/>
    <w:rsid w:val="00E81844"/>
    <w:rsid w:val="00E81A06"/>
    <w:rsid w:val="00E81D79"/>
    <w:rsid w:val="00E82629"/>
    <w:rsid w:val="00E82A9E"/>
    <w:rsid w:val="00E837F4"/>
    <w:rsid w:val="00E837FB"/>
    <w:rsid w:val="00E84D71"/>
    <w:rsid w:val="00E852C9"/>
    <w:rsid w:val="00E855AC"/>
    <w:rsid w:val="00E85773"/>
    <w:rsid w:val="00E85D46"/>
    <w:rsid w:val="00E85FC5"/>
    <w:rsid w:val="00E8637A"/>
    <w:rsid w:val="00E865D1"/>
    <w:rsid w:val="00E8690A"/>
    <w:rsid w:val="00E86CFB"/>
    <w:rsid w:val="00E87061"/>
    <w:rsid w:val="00E875E9"/>
    <w:rsid w:val="00E901FC"/>
    <w:rsid w:val="00E907D4"/>
    <w:rsid w:val="00E90D42"/>
    <w:rsid w:val="00E90DC4"/>
    <w:rsid w:val="00E90EF6"/>
    <w:rsid w:val="00E91720"/>
    <w:rsid w:val="00E91FB6"/>
    <w:rsid w:val="00E923F6"/>
    <w:rsid w:val="00E9240A"/>
    <w:rsid w:val="00E92547"/>
    <w:rsid w:val="00E925E3"/>
    <w:rsid w:val="00E9272E"/>
    <w:rsid w:val="00E928B1"/>
    <w:rsid w:val="00E92C9D"/>
    <w:rsid w:val="00E92EA1"/>
    <w:rsid w:val="00E92ECE"/>
    <w:rsid w:val="00E93268"/>
    <w:rsid w:val="00E9375C"/>
    <w:rsid w:val="00E93AD3"/>
    <w:rsid w:val="00E93C11"/>
    <w:rsid w:val="00E93DEC"/>
    <w:rsid w:val="00E94993"/>
    <w:rsid w:val="00E949C8"/>
    <w:rsid w:val="00E959FF"/>
    <w:rsid w:val="00E95C46"/>
    <w:rsid w:val="00E95E1A"/>
    <w:rsid w:val="00E9631F"/>
    <w:rsid w:val="00E96AC1"/>
    <w:rsid w:val="00E96BD2"/>
    <w:rsid w:val="00E96BEC"/>
    <w:rsid w:val="00E978CD"/>
    <w:rsid w:val="00E97AFB"/>
    <w:rsid w:val="00E97B8F"/>
    <w:rsid w:val="00E97C3C"/>
    <w:rsid w:val="00EA00F5"/>
    <w:rsid w:val="00EA0234"/>
    <w:rsid w:val="00EA0930"/>
    <w:rsid w:val="00EA096B"/>
    <w:rsid w:val="00EA0ADD"/>
    <w:rsid w:val="00EA1180"/>
    <w:rsid w:val="00EA130E"/>
    <w:rsid w:val="00EA142F"/>
    <w:rsid w:val="00EA1BB1"/>
    <w:rsid w:val="00EA1ED2"/>
    <w:rsid w:val="00EA1FCE"/>
    <w:rsid w:val="00EA2238"/>
    <w:rsid w:val="00EA2427"/>
    <w:rsid w:val="00EA2550"/>
    <w:rsid w:val="00EA2ACE"/>
    <w:rsid w:val="00EA2B7D"/>
    <w:rsid w:val="00EA2F15"/>
    <w:rsid w:val="00EA36C2"/>
    <w:rsid w:val="00EA38A1"/>
    <w:rsid w:val="00EA38EC"/>
    <w:rsid w:val="00EA3F09"/>
    <w:rsid w:val="00EA3F8B"/>
    <w:rsid w:val="00EA45DC"/>
    <w:rsid w:val="00EA4A4F"/>
    <w:rsid w:val="00EA4B97"/>
    <w:rsid w:val="00EA52AB"/>
    <w:rsid w:val="00EA55AB"/>
    <w:rsid w:val="00EA5774"/>
    <w:rsid w:val="00EA5DFD"/>
    <w:rsid w:val="00EA5F32"/>
    <w:rsid w:val="00EA60F6"/>
    <w:rsid w:val="00EA6172"/>
    <w:rsid w:val="00EA61B0"/>
    <w:rsid w:val="00EA66B3"/>
    <w:rsid w:val="00EA6723"/>
    <w:rsid w:val="00EA6CD0"/>
    <w:rsid w:val="00EA6D13"/>
    <w:rsid w:val="00EA6E63"/>
    <w:rsid w:val="00EA6F61"/>
    <w:rsid w:val="00EA703F"/>
    <w:rsid w:val="00EA7204"/>
    <w:rsid w:val="00EB0048"/>
    <w:rsid w:val="00EB012B"/>
    <w:rsid w:val="00EB0232"/>
    <w:rsid w:val="00EB02DA"/>
    <w:rsid w:val="00EB04F1"/>
    <w:rsid w:val="00EB0673"/>
    <w:rsid w:val="00EB0785"/>
    <w:rsid w:val="00EB08E5"/>
    <w:rsid w:val="00EB0C2E"/>
    <w:rsid w:val="00EB10B7"/>
    <w:rsid w:val="00EB129E"/>
    <w:rsid w:val="00EB134D"/>
    <w:rsid w:val="00EB14A4"/>
    <w:rsid w:val="00EB19FF"/>
    <w:rsid w:val="00EB1B31"/>
    <w:rsid w:val="00EB1E55"/>
    <w:rsid w:val="00EB209E"/>
    <w:rsid w:val="00EB22A5"/>
    <w:rsid w:val="00EB25E0"/>
    <w:rsid w:val="00EB26D0"/>
    <w:rsid w:val="00EB2810"/>
    <w:rsid w:val="00EB285A"/>
    <w:rsid w:val="00EB2F39"/>
    <w:rsid w:val="00EB3576"/>
    <w:rsid w:val="00EB39C3"/>
    <w:rsid w:val="00EB41F1"/>
    <w:rsid w:val="00EB46F6"/>
    <w:rsid w:val="00EB4A9B"/>
    <w:rsid w:val="00EB50A9"/>
    <w:rsid w:val="00EB53A3"/>
    <w:rsid w:val="00EB69CF"/>
    <w:rsid w:val="00EB722A"/>
    <w:rsid w:val="00EB7A4D"/>
    <w:rsid w:val="00EC0061"/>
    <w:rsid w:val="00EC0298"/>
    <w:rsid w:val="00EC0C1B"/>
    <w:rsid w:val="00EC13BE"/>
    <w:rsid w:val="00EC14CC"/>
    <w:rsid w:val="00EC22D9"/>
    <w:rsid w:val="00EC25C1"/>
    <w:rsid w:val="00EC27B9"/>
    <w:rsid w:val="00EC2899"/>
    <w:rsid w:val="00EC2959"/>
    <w:rsid w:val="00EC2C6C"/>
    <w:rsid w:val="00EC2E54"/>
    <w:rsid w:val="00EC36E0"/>
    <w:rsid w:val="00EC394B"/>
    <w:rsid w:val="00EC39C1"/>
    <w:rsid w:val="00EC3B90"/>
    <w:rsid w:val="00EC3C72"/>
    <w:rsid w:val="00EC4054"/>
    <w:rsid w:val="00EC42F0"/>
    <w:rsid w:val="00EC43A4"/>
    <w:rsid w:val="00EC4B57"/>
    <w:rsid w:val="00EC4EC1"/>
    <w:rsid w:val="00EC5752"/>
    <w:rsid w:val="00EC5932"/>
    <w:rsid w:val="00EC5982"/>
    <w:rsid w:val="00EC5C5C"/>
    <w:rsid w:val="00EC6203"/>
    <w:rsid w:val="00EC6275"/>
    <w:rsid w:val="00EC62C0"/>
    <w:rsid w:val="00EC65FB"/>
    <w:rsid w:val="00EC6CB6"/>
    <w:rsid w:val="00EC74A3"/>
    <w:rsid w:val="00EC760B"/>
    <w:rsid w:val="00EC7967"/>
    <w:rsid w:val="00EC7D49"/>
    <w:rsid w:val="00ED007D"/>
    <w:rsid w:val="00ED05A5"/>
    <w:rsid w:val="00ED0AD0"/>
    <w:rsid w:val="00ED1052"/>
    <w:rsid w:val="00ED1389"/>
    <w:rsid w:val="00ED13CC"/>
    <w:rsid w:val="00ED1B60"/>
    <w:rsid w:val="00ED20C4"/>
    <w:rsid w:val="00ED219B"/>
    <w:rsid w:val="00ED21D9"/>
    <w:rsid w:val="00ED2207"/>
    <w:rsid w:val="00ED2227"/>
    <w:rsid w:val="00ED29EA"/>
    <w:rsid w:val="00ED2D49"/>
    <w:rsid w:val="00ED30C4"/>
    <w:rsid w:val="00ED3666"/>
    <w:rsid w:val="00ED3A93"/>
    <w:rsid w:val="00ED3C72"/>
    <w:rsid w:val="00ED3F41"/>
    <w:rsid w:val="00ED417E"/>
    <w:rsid w:val="00ED4627"/>
    <w:rsid w:val="00ED4736"/>
    <w:rsid w:val="00ED49C2"/>
    <w:rsid w:val="00ED4B0E"/>
    <w:rsid w:val="00ED63A0"/>
    <w:rsid w:val="00ED68A1"/>
    <w:rsid w:val="00ED6911"/>
    <w:rsid w:val="00ED6B02"/>
    <w:rsid w:val="00ED6B7B"/>
    <w:rsid w:val="00ED6FF6"/>
    <w:rsid w:val="00ED703D"/>
    <w:rsid w:val="00ED7401"/>
    <w:rsid w:val="00ED7494"/>
    <w:rsid w:val="00ED77C3"/>
    <w:rsid w:val="00ED7EF1"/>
    <w:rsid w:val="00EE0A06"/>
    <w:rsid w:val="00EE20DA"/>
    <w:rsid w:val="00EE2420"/>
    <w:rsid w:val="00EE2501"/>
    <w:rsid w:val="00EE2D45"/>
    <w:rsid w:val="00EE2F7C"/>
    <w:rsid w:val="00EE30B9"/>
    <w:rsid w:val="00EE34A7"/>
    <w:rsid w:val="00EE3A53"/>
    <w:rsid w:val="00EE3F7E"/>
    <w:rsid w:val="00EE413E"/>
    <w:rsid w:val="00EE427F"/>
    <w:rsid w:val="00EE4309"/>
    <w:rsid w:val="00EE4509"/>
    <w:rsid w:val="00EE47C9"/>
    <w:rsid w:val="00EE47E7"/>
    <w:rsid w:val="00EE538E"/>
    <w:rsid w:val="00EE548A"/>
    <w:rsid w:val="00EE5934"/>
    <w:rsid w:val="00EE5F05"/>
    <w:rsid w:val="00EE6373"/>
    <w:rsid w:val="00EE639C"/>
    <w:rsid w:val="00EE644E"/>
    <w:rsid w:val="00EE6454"/>
    <w:rsid w:val="00EE66F7"/>
    <w:rsid w:val="00EE6AEB"/>
    <w:rsid w:val="00EE6BB8"/>
    <w:rsid w:val="00EE6C6E"/>
    <w:rsid w:val="00EE70D1"/>
    <w:rsid w:val="00EE782A"/>
    <w:rsid w:val="00EE7879"/>
    <w:rsid w:val="00EE7D34"/>
    <w:rsid w:val="00EE7EA0"/>
    <w:rsid w:val="00EF0511"/>
    <w:rsid w:val="00EF0962"/>
    <w:rsid w:val="00EF0CE8"/>
    <w:rsid w:val="00EF0F92"/>
    <w:rsid w:val="00EF0F94"/>
    <w:rsid w:val="00EF135D"/>
    <w:rsid w:val="00EF164F"/>
    <w:rsid w:val="00EF195B"/>
    <w:rsid w:val="00EF2680"/>
    <w:rsid w:val="00EF2710"/>
    <w:rsid w:val="00EF282B"/>
    <w:rsid w:val="00EF2E32"/>
    <w:rsid w:val="00EF2E76"/>
    <w:rsid w:val="00EF3227"/>
    <w:rsid w:val="00EF32A4"/>
    <w:rsid w:val="00EF342F"/>
    <w:rsid w:val="00EF3473"/>
    <w:rsid w:val="00EF36E0"/>
    <w:rsid w:val="00EF3D6A"/>
    <w:rsid w:val="00EF53D9"/>
    <w:rsid w:val="00EF5761"/>
    <w:rsid w:val="00EF592B"/>
    <w:rsid w:val="00EF5A34"/>
    <w:rsid w:val="00EF5BC5"/>
    <w:rsid w:val="00EF5D0D"/>
    <w:rsid w:val="00EF610E"/>
    <w:rsid w:val="00EF6C33"/>
    <w:rsid w:val="00EF744A"/>
    <w:rsid w:val="00EF758B"/>
    <w:rsid w:val="00EF76D2"/>
    <w:rsid w:val="00EF7F7A"/>
    <w:rsid w:val="00F003A4"/>
    <w:rsid w:val="00F005C1"/>
    <w:rsid w:val="00F00B91"/>
    <w:rsid w:val="00F00E5B"/>
    <w:rsid w:val="00F00ECD"/>
    <w:rsid w:val="00F00F79"/>
    <w:rsid w:val="00F01526"/>
    <w:rsid w:val="00F01625"/>
    <w:rsid w:val="00F01CD8"/>
    <w:rsid w:val="00F01D2B"/>
    <w:rsid w:val="00F01EB4"/>
    <w:rsid w:val="00F02763"/>
    <w:rsid w:val="00F027D5"/>
    <w:rsid w:val="00F0291D"/>
    <w:rsid w:val="00F02B9E"/>
    <w:rsid w:val="00F02BFB"/>
    <w:rsid w:val="00F03286"/>
    <w:rsid w:val="00F035D2"/>
    <w:rsid w:val="00F03633"/>
    <w:rsid w:val="00F0376A"/>
    <w:rsid w:val="00F03DB0"/>
    <w:rsid w:val="00F04615"/>
    <w:rsid w:val="00F04640"/>
    <w:rsid w:val="00F0473C"/>
    <w:rsid w:val="00F04AF1"/>
    <w:rsid w:val="00F04E1A"/>
    <w:rsid w:val="00F053A7"/>
    <w:rsid w:val="00F05BD6"/>
    <w:rsid w:val="00F05C92"/>
    <w:rsid w:val="00F05CC9"/>
    <w:rsid w:val="00F05F14"/>
    <w:rsid w:val="00F060A8"/>
    <w:rsid w:val="00F062D5"/>
    <w:rsid w:val="00F069B1"/>
    <w:rsid w:val="00F069FD"/>
    <w:rsid w:val="00F06AF5"/>
    <w:rsid w:val="00F06F92"/>
    <w:rsid w:val="00F070FF"/>
    <w:rsid w:val="00F072B5"/>
    <w:rsid w:val="00F0772C"/>
    <w:rsid w:val="00F07D48"/>
    <w:rsid w:val="00F100AE"/>
    <w:rsid w:val="00F1050C"/>
    <w:rsid w:val="00F10667"/>
    <w:rsid w:val="00F10831"/>
    <w:rsid w:val="00F10D6D"/>
    <w:rsid w:val="00F10F5A"/>
    <w:rsid w:val="00F1109C"/>
    <w:rsid w:val="00F1179C"/>
    <w:rsid w:val="00F119C9"/>
    <w:rsid w:val="00F122E4"/>
    <w:rsid w:val="00F12B6C"/>
    <w:rsid w:val="00F12EEE"/>
    <w:rsid w:val="00F130F8"/>
    <w:rsid w:val="00F135E0"/>
    <w:rsid w:val="00F13E69"/>
    <w:rsid w:val="00F14442"/>
    <w:rsid w:val="00F14983"/>
    <w:rsid w:val="00F1532B"/>
    <w:rsid w:val="00F15432"/>
    <w:rsid w:val="00F159D4"/>
    <w:rsid w:val="00F15B69"/>
    <w:rsid w:val="00F15C89"/>
    <w:rsid w:val="00F171C6"/>
    <w:rsid w:val="00F171E7"/>
    <w:rsid w:val="00F1727D"/>
    <w:rsid w:val="00F1757E"/>
    <w:rsid w:val="00F20549"/>
    <w:rsid w:val="00F20CFE"/>
    <w:rsid w:val="00F20E0A"/>
    <w:rsid w:val="00F217DC"/>
    <w:rsid w:val="00F219F9"/>
    <w:rsid w:val="00F21A6C"/>
    <w:rsid w:val="00F22228"/>
    <w:rsid w:val="00F2234F"/>
    <w:rsid w:val="00F224F7"/>
    <w:rsid w:val="00F23347"/>
    <w:rsid w:val="00F234F1"/>
    <w:rsid w:val="00F23720"/>
    <w:rsid w:val="00F23BCB"/>
    <w:rsid w:val="00F24496"/>
    <w:rsid w:val="00F24A45"/>
    <w:rsid w:val="00F24CE6"/>
    <w:rsid w:val="00F24FE0"/>
    <w:rsid w:val="00F25646"/>
    <w:rsid w:val="00F27538"/>
    <w:rsid w:val="00F276BB"/>
    <w:rsid w:val="00F279DC"/>
    <w:rsid w:val="00F3004C"/>
    <w:rsid w:val="00F304FD"/>
    <w:rsid w:val="00F30628"/>
    <w:rsid w:val="00F3084A"/>
    <w:rsid w:val="00F30B73"/>
    <w:rsid w:val="00F30CA8"/>
    <w:rsid w:val="00F3121A"/>
    <w:rsid w:val="00F31233"/>
    <w:rsid w:val="00F31AFB"/>
    <w:rsid w:val="00F32448"/>
    <w:rsid w:val="00F3372A"/>
    <w:rsid w:val="00F33BA1"/>
    <w:rsid w:val="00F33C46"/>
    <w:rsid w:val="00F33DB2"/>
    <w:rsid w:val="00F341AD"/>
    <w:rsid w:val="00F34552"/>
    <w:rsid w:val="00F356CE"/>
    <w:rsid w:val="00F356EB"/>
    <w:rsid w:val="00F35970"/>
    <w:rsid w:val="00F35EA6"/>
    <w:rsid w:val="00F36BCE"/>
    <w:rsid w:val="00F36EDC"/>
    <w:rsid w:val="00F3706C"/>
    <w:rsid w:val="00F374FC"/>
    <w:rsid w:val="00F3755A"/>
    <w:rsid w:val="00F4028F"/>
    <w:rsid w:val="00F40A9D"/>
    <w:rsid w:val="00F41638"/>
    <w:rsid w:val="00F41A46"/>
    <w:rsid w:val="00F42298"/>
    <w:rsid w:val="00F42DE3"/>
    <w:rsid w:val="00F42E89"/>
    <w:rsid w:val="00F436F1"/>
    <w:rsid w:val="00F43C38"/>
    <w:rsid w:val="00F43FDB"/>
    <w:rsid w:val="00F44263"/>
    <w:rsid w:val="00F4464D"/>
    <w:rsid w:val="00F44654"/>
    <w:rsid w:val="00F447AA"/>
    <w:rsid w:val="00F45695"/>
    <w:rsid w:val="00F45769"/>
    <w:rsid w:val="00F4579C"/>
    <w:rsid w:val="00F45A8B"/>
    <w:rsid w:val="00F466E8"/>
    <w:rsid w:val="00F46930"/>
    <w:rsid w:val="00F4715B"/>
    <w:rsid w:val="00F471F1"/>
    <w:rsid w:val="00F47283"/>
    <w:rsid w:val="00F4751C"/>
    <w:rsid w:val="00F4756B"/>
    <w:rsid w:val="00F47624"/>
    <w:rsid w:val="00F47797"/>
    <w:rsid w:val="00F4786D"/>
    <w:rsid w:val="00F47A42"/>
    <w:rsid w:val="00F5018A"/>
    <w:rsid w:val="00F50438"/>
    <w:rsid w:val="00F50476"/>
    <w:rsid w:val="00F505E7"/>
    <w:rsid w:val="00F50A48"/>
    <w:rsid w:val="00F51629"/>
    <w:rsid w:val="00F516F0"/>
    <w:rsid w:val="00F51849"/>
    <w:rsid w:val="00F522D6"/>
    <w:rsid w:val="00F52530"/>
    <w:rsid w:val="00F52B73"/>
    <w:rsid w:val="00F53462"/>
    <w:rsid w:val="00F5348E"/>
    <w:rsid w:val="00F53B63"/>
    <w:rsid w:val="00F54073"/>
    <w:rsid w:val="00F549F4"/>
    <w:rsid w:val="00F54E9F"/>
    <w:rsid w:val="00F552B3"/>
    <w:rsid w:val="00F552D1"/>
    <w:rsid w:val="00F553A5"/>
    <w:rsid w:val="00F56626"/>
    <w:rsid w:val="00F5684C"/>
    <w:rsid w:val="00F575A9"/>
    <w:rsid w:val="00F57804"/>
    <w:rsid w:val="00F57C5F"/>
    <w:rsid w:val="00F57D07"/>
    <w:rsid w:val="00F60584"/>
    <w:rsid w:val="00F60762"/>
    <w:rsid w:val="00F60DAC"/>
    <w:rsid w:val="00F614BC"/>
    <w:rsid w:val="00F61989"/>
    <w:rsid w:val="00F62178"/>
    <w:rsid w:val="00F62723"/>
    <w:rsid w:val="00F6311F"/>
    <w:rsid w:val="00F6318B"/>
    <w:rsid w:val="00F63A1F"/>
    <w:rsid w:val="00F63C8D"/>
    <w:rsid w:val="00F64281"/>
    <w:rsid w:val="00F64495"/>
    <w:rsid w:val="00F65275"/>
    <w:rsid w:val="00F652D8"/>
    <w:rsid w:val="00F6554E"/>
    <w:rsid w:val="00F65AAF"/>
    <w:rsid w:val="00F65D85"/>
    <w:rsid w:val="00F65D95"/>
    <w:rsid w:val="00F660D8"/>
    <w:rsid w:val="00F664EF"/>
    <w:rsid w:val="00F665E8"/>
    <w:rsid w:val="00F66AE9"/>
    <w:rsid w:val="00F66D0D"/>
    <w:rsid w:val="00F66D19"/>
    <w:rsid w:val="00F67208"/>
    <w:rsid w:val="00F675F2"/>
    <w:rsid w:val="00F677EA"/>
    <w:rsid w:val="00F67D75"/>
    <w:rsid w:val="00F70BBE"/>
    <w:rsid w:val="00F71183"/>
    <w:rsid w:val="00F71D49"/>
    <w:rsid w:val="00F721E6"/>
    <w:rsid w:val="00F737B4"/>
    <w:rsid w:val="00F738F1"/>
    <w:rsid w:val="00F73947"/>
    <w:rsid w:val="00F741C3"/>
    <w:rsid w:val="00F742A7"/>
    <w:rsid w:val="00F74E03"/>
    <w:rsid w:val="00F74F12"/>
    <w:rsid w:val="00F750B8"/>
    <w:rsid w:val="00F75287"/>
    <w:rsid w:val="00F75297"/>
    <w:rsid w:val="00F753B4"/>
    <w:rsid w:val="00F75748"/>
    <w:rsid w:val="00F7577E"/>
    <w:rsid w:val="00F757E5"/>
    <w:rsid w:val="00F75D8C"/>
    <w:rsid w:val="00F75E3A"/>
    <w:rsid w:val="00F76853"/>
    <w:rsid w:val="00F769AC"/>
    <w:rsid w:val="00F76E13"/>
    <w:rsid w:val="00F7705E"/>
    <w:rsid w:val="00F77E8A"/>
    <w:rsid w:val="00F800F8"/>
    <w:rsid w:val="00F80125"/>
    <w:rsid w:val="00F805DD"/>
    <w:rsid w:val="00F80CCD"/>
    <w:rsid w:val="00F818AB"/>
    <w:rsid w:val="00F8192F"/>
    <w:rsid w:val="00F81E40"/>
    <w:rsid w:val="00F8207E"/>
    <w:rsid w:val="00F8235C"/>
    <w:rsid w:val="00F82DAB"/>
    <w:rsid w:val="00F83391"/>
    <w:rsid w:val="00F8378B"/>
    <w:rsid w:val="00F837F3"/>
    <w:rsid w:val="00F83A53"/>
    <w:rsid w:val="00F83BD7"/>
    <w:rsid w:val="00F84827"/>
    <w:rsid w:val="00F84AE3"/>
    <w:rsid w:val="00F84FCD"/>
    <w:rsid w:val="00F85236"/>
    <w:rsid w:val="00F8542B"/>
    <w:rsid w:val="00F85F3F"/>
    <w:rsid w:val="00F8611F"/>
    <w:rsid w:val="00F869F1"/>
    <w:rsid w:val="00F86BFD"/>
    <w:rsid w:val="00F87129"/>
    <w:rsid w:val="00F879DD"/>
    <w:rsid w:val="00F87AB7"/>
    <w:rsid w:val="00F90477"/>
    <w:rsid w:val="00F91AE5"/>
    <w:rsid w:val="00F91F37"/>
    <w:rsid w:val="00F91F68"/>
    <w:rsid w:val="00F92030"/>
    <w:rsid w:val="00F92629"/>
    <w:rsid w:val="00F9268E"/>
    <w:rsid w:val="00F9275C"/>
    <w:rsid w:val="00F92936"/>
    <w:rsid w:val="00F9319F"/>
    <w:rsid w:val="00F9321E"/>
    <w:rsid w:val="00F937D5"/>
    <w:rsid w:val="00F93CF6"/>
    <w:rsid w:val="00F93D8E"/>
    <w:rsid w:val="00F93DB6"/>
    <w:rsid w:val="00F941B5"/>
    <w:rsid w:val="00F9526B"/>
    <w:rsid w:val="00F9558F"/>
    <w:rsid w:val="00F957CF"/>
    <w:rsid w:val="00F95864"/>
    <w:rsid w:val="00F95DC1"/>
    <w:rsid w:val="00F9631C"/>
    <w:rsid w:val="00F96617"/>
    <w:rsid w:val="00F96932"/>
    <w:rsid w:val="00F96E48"/>
    <w:rsid w:val="00F9701F"/>
    <w:rsid w:val="00F97323"/>
    <w:rsid w:val="00FA0359"/>
    <w:rsid w:val="00FA0702"/>
    <w:rsid w:val="00FA0A27"/>
    <w:rsid w:val="00FA0AC9"/>
    <w:rsid w:val="00FA0B63"/>
    <w:rsid w:val="00FA0F34"/>
    <w:rsid w:val="00FA1DA4"/>
    <w:rsid w:val="00FA2966"/>
    <w:rsid w:val="00FA2A8B"/>
    <w:rsid w:val="00FA3489"/>
    <w:rsid w:val="00FA34CF"/>
    <w:rsid w:val="00FA3607"/>
    <w:rsid w:val="00FA3973"/>
    <w:rsid w:val="00FA4432"/>
    <w:rsid w:val="00FA4679"/>
    <w:rsid w:val="00FA4856"/>
    <w:rsid w:val="00FA4A8E"/>
    <w:rsid w:val="00FA4B7E"/>
    <w:rsid w:val="00FA5058"/>
    <w:rsid w:val="00FA5721"/>
    <w:rsid w:val="00FA5A17"/>
    <w:rsid w:val="00FA5B6B"/>
    <w:rsid w:val="00FA5F76"/>
    <w:rsid w:val="00FA63FA"/>
    <w:rsid w:val="00FA6577"/>
    <w:rsid w:val="00FA6C1B"/>
    <w:rsid w:val="00FA6EA5"/>
    <w:rsid w:val="00FA7DD7"/>
    <w:rsid w:val="00FA7F50"/>
    <w:rsid w:val="00FB02BF"/>
    <w:rsid w:val="00FB054F"/>
    <w:rsid w:val="00FB09EB"/>
    <w:rsid w:val="00FB142B"/>
    <w:rsid w:val="00FB20C3"/>
    <w:rsid w:val="00FB2793"/>
    <w:rsid w:val="00FB2837"/>
    <w:rsid w:val="00FB2967"/>
    <w:rsid w:val="00FB2D65"/>
    <w:rsid w:val="00FB323B"/>
    <w:rsid w:val="00FB3334"/>
    <w:rsid w:val="00FB38BA"/>
    <w:rsid w:val="00FB3A04"/>
    <w:rsid w:val="00FB3DDB"/>
    <w:rsid w:val="00FB4349"/>
    <w:rsid w:val="00FB4413"/>
    <w:rsid w:val="00FB48BA"/>
    <w:rsid w:val="00FB546B"/>
    <w:rsid w:val="00FB5665"/>
    <w:rsid w:val="00FB5727"/>
    <w:rsid w:val="00FB5823"/>
    <w:rsid w:val="00FB59B4"/>
    <w:rsid w:val="00FB5ECA"/>
    <w:rsid w:val="00FB667F"/>
    <w:rsid w:val="00FB678E"/>
    <w:rsid w:val="00FB68CB"/>
    <w:rsid w:val="00FB69D2"/>
    <w:rsid w:val="00FB6FF2"/>
    <w:rsid w:val="00FB75E6"/>
    <w:rsid w:val="00FB77EA"/>
    <w:rsid w:val="00FC03C4"/>
    <w:rsid w:val="00FC077A"/>
    <w:rsid w:val="00FC0A40"/>
    <w:rsid w:val="00FC0A8C"/>
    <w:rsid w:val="00FC0E09"/>
    <w:rsid w:val="00FC0FF7"/>
    <w:rsid w:val="00FC11FF"/>
    <w:rsid w:val="00FC1245"/>
    <w:rsid w:val="00FC138C"/>
    <w:rsid w:val="00FC277E"/>
    <w:rsid w:val="00FC279A"/>
    <w:rsid w:val="00FC29F2"/>
    <w:rsid w:val="00FC3442"/>
    <w:rsid w:val="00FC3856"/>
    <w:rsid w:val="00FC43A7"/>
    <w:rsid w:val="00FC4CDC"/>
    <w:rsid w:val="00FC5A6D"/>
    <w:rsid w:val="00FC6133"/>
    <w:rsid w:val="00FC6153"/>
    <w:rsid w:val="00FC6767"/>
    <w:rsid w:val="00FC6E7C"/>
    <w:rsid w:val="00FC78BC"/>
    <w:rsid w:val="00FC7AF4"/>
    <w:rsid w:val="00FC7BF5"/>
    <w:rsid w:val="00FD01FB"/>
    <w:rsid w:val="00FD0386"/>
    <w:rsid w:val="00FD0841"/>
    <w:rsid w:val="00FD0E98"/>
    <w:rsid w:val="00FD15E5"/>
    <w:rsid w:val="00FD17F2"/>
    <w:rsid w:val="00FD21DD"/>
    <w:rsid w:val="00FD21EF"/>
    <w:rsid w:val="00FD2930"/>
    <w:rsid w:val="00FD2C33"/>
    <w:rsid w:val="00FD2F32"/>
    <w:rsid w:val="00FD3065"/>
    <w:rsid w:val="00FD30C2"/>
    <w:rsid w:val="00FD3617"/>
    <w:rsid w:val="00FD3768"/>
    <w:rsid w:val="00FD45E0"/>
    <w:rsid w:val="00FD4764"/>
    <w:rsid w:val="00FD4B2C"/>
    <w:rsid w:val="00FD5014"/>
    <w:rsid w:val="00FD61CE"/>
    <w:rsid w:val="00FD637D"/>
    <w:rsid w:val="00FD6559"/>
    <w:rsid w:val="00FD65B7"/>
    <w:rsid w:val="00FD687D"/>
    <w:rsid w:val="00FD696E"/>
    <w:rsid w:val="00FE0131"/>
    <w:rsid w:val="00FE0169"/>
    <w:rsid w:val="00FE01CD"/>
    <w:rsid w:val="00FE051D"/>
    <w:rsid w:val="00FE075A"/>
    <w:rsid w:val="00FE1021"/>
    <w:rsid w:val="00FE15C0"/>
    <w:rsid w:val="00FE1AF9"/>
    <w:rsid w:val="00FE2C49"/>
    <w:rsid w:val="00FE314E"/>
    <w:rsid w:val="00FE3263"/>
    <w:rsid w:val="00FE3685"/>
    <w:rsid w:val="00FE3834"/>
    <w:rsid w:val="00FE406C"/>
    <w:rsid w:val="00FE40BB"/>
    <w:rsid w:val="00FE440D"/>
    <w:rsid w:val="00FE4510"/>
    <w:rsid w:val="00FE4926"/>
    <w:rsid w:val="00FE4FE8"/>
    <w:rsid w:val="00FE5FF7"/>
    <w:rsid w:val="00FE629F"/>
    <w:rsid w:val="00FE6734"/>
    <w:rsid w:val="00FE673E"/>
    <w:rsid w:val="00FE6866"/>
    <w:rsid w:val="00FE687B"/>
    <w:rsid w:val="00FE6D20"/>
    <w:rsid w:val="00FE726C"/>
    <w:rsid w:val="00FE7310"/>
    <w:rsid w:val="00FE77E6"/>
    <w:rsid w:val="00FE7B07"/>
    <w:rsid w:val="00FF05E6"/>
    <w:rsid w:val="00FF061B"/>
    <w:rsid w:val="00FF06A9"/>
    <w:rsid w:val="00FF08E7"/>
    <w:rsid w:val="00FF0B32"/>
    <w:rsid w:val="00FF0D52"/>
    <w:rsid w:val="00FF0FDB"/>
    <w:rsid w:val="00FF207B"/>
    <w:rsid w:val="00FF20D7"/>
    <w:rsid w:val="00FF2392"/>
    <w:rsid w:val="00FF24D9"/>
    <w:rsid w:val="00FF32FF"/>
    <w:rsid w:val="00FF3BA5"/>
    <w:rsid w:val="00FF3E91"/>
    <w:rsid w:val="00FF3EBC"/>
    <w:rsid w:val="00FF45E1"/>
    <w:rsid w:val="00FF46C1"/>
    <w:rsid w:val="00FF4772"/>
    <w:rsid w:val="00FF4822"/>
    <w:rsid w:val="00FF486F"/>
    <w:rsid w:val="00FF4B3F"/>
    <w:rsid w:val="00FF4C98"/>
    <w:rsid w:val="00FF50E3"/>
    <w:rsid w:val="00FF519B"/>
    <w:rsid w:val="00FF51BC"/>
    <w:rsid w:val="00FF584D"/>
    <w:rsid w:val="00FF6231"/>
    <w:rsid w:val="00FF6413"/>
    <w:rsid w:val="00FF649C"/>
    <w:rsid w:val="00FF6884"/>
    <w:rsid w:val="00FF689A"/>
    <w:rsid w:val="00FF6EFF"/>
    <w:rsid w:val="00FF713A"/>
    <w:rsid w:val="00FF71AB"/>
    <w:rsid w:val="00FF7679"/>
    <w:rsid w:val="00FF7D92"/>
    <w:rsid w:val="00FF7E77"/>
    <w:rsid w:val="00FF7F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890"/>
  </w:style>
  <w:style w:type="paragraph" w:styleId="Heading1">
    <w:name w:val="heading 1"/>
    <w:basedOn w:val="Normal"/>
    <w:next w:val="Normal"/>
    <w:link w:val="Heading1Char"/>
    <w:uiPriority w:val="99"/>
    <w:qFormat/>
    <w:rsid w:val="00A76890"/>
    <w:pPr>
      <w:keepNext/>
      <w:spacing w:before="240" w:after="60" w:line="264" w:lineRule="auto"/>
      <w:jc w:val="both"/>
      <w:outlineLvl w:val="0"/>
    </w:pPr>
    <w:rPr>
      <w:rFonts w:cs="Arial"/>
      <w:b/>
      <w:bCs/>
      <w:kern w:val="32"/>
      <w:sz w:val="32"/>
      <w:szCs w:val="32"/>
      <w:lang w:val="en-GB" w:eastAsia="en-GB"/>
    </w:rPr>
  </w:style>
  <w:style w:type="paragraph" w:styleId="Heading2">
    <w:name w:val="heading 2"/>
    <w:basedOn w:val="Normal"/>
    <w:next w:val="Normal"/>
    <w:link w:val="Heading2Char"/>
    <w:rsid w:val="00A76890"/>
    <w:pPr>
      <w:keepNext/>
      <w:spacing w:before="120" w:line="264" w:lineRule="auto"/>
      <w:jc w:val="both"/>
      <w:outlineLvl w:val="1"/>
    </w:pPr>
    <w:rPr>
      <w:b/>
      <w:lang w:val="en-GB" w:eastAsia="en-GB"/>
    </w:rPr>
  </w:style>
  <w:style w:type="paragraph" w:styleId="Heading3">
    <w:name w:val="heading 3"/>
    <w:basedOn w:val="Normal"/>
    <w:next w:val="Normal"/>
    <w:link w:val="Heading3Char"/>
    <w:uiPriority w:val="99"/>
    <w:qFormat/>
    <w:rsid w:val="00A76890"/>
    <w:pPr>
      <w:keepNext/>
      <w:keepLines/>
      <w:spacing w:before="120" w:line="264" w:lineRule="auto"/>
      <w:jc w:val="both"/>
      <w:outlineLvl w:val="2"/>
    </w:pPr>
    <w:rPr>
      <w:b/>
      <w:i/>
      <w:lang w:val="en-GB" w:eastAsia="en-GB"/>
    </w:rPr>
  </w:style>
  <w:style w:type="paragraph" w:styleId="Heading4">
    <w:name w:val="heading 4"/>
    <w:basedOn w:val="Normal"/>
    <w:next w:val="Normal"/>
    <w:link w:val="Heading4Char"/>
    <w:uiPriority w:val="99"/>
    <w:qFormat/>
    <w:rsid w:val="00A76890"/>
    <w:pPr>
      <w:keepNext/>
      <w:spacing w:before="120" w:line="264" w:lineRule="auto"/>
      <w:jc w:val="both"/>
      <w:outlineLvl w:val="3"/>
    </w:pPr>
    <w:rPr>
      <w:rFonts w:eastAsiaTheme="majorEastAsia" w:cstheme="majorBidi"/>
      <w:i/>
      <w:lang w:val="en-GB" w:eastAsia="en-GB"/>
    </w:rPr>
  </w:style>
  <w:style w:type="paragraph" w:styleId="Heading5">
    <w:name w:val="heading 5"/>
    <w:basedOn w:val="Normal"/>
    <w:next w:val="Normal"/>
    <w:link w:val="Heading5Char"/>
    <w:uiPriority w:val="99"/>
    <w:qFormat/>
    <w:rsid w:val="00A76890"/>
    <w:pPr>
      <w:keepNext/>
      <w:spacing w:before="120" w:line="264" w:lineRule="auto"/>
      <w:jc w:val="center"/>
      <w:outlineLvl w:val="4"/>
    </w:pPr>
    <w:rPr>
      <w:rFonts w:eastAsia="MS Mincho" w:cs="Arial"/>
      <w:b/>
      <w:sz w:val="40"/>
      <w:lang w:val="en-GB" w:eastAsia="en-GB"/>
    </w:rPr>
  </w:style>
  <w:style w:type="paragraph" w:styleId="Heading6">
    <w:name w:val="heading 6"/>
    <w:basedOn w:val="Normal"/>
    <w:next w:val="Normal"/>
    <w:link w:val="Heading6Char"/>
    <w:qFormat/>
    <w:rsid w:val="00D6519D"/>
    <w:pPr>
      <w:tabs>
        <w:tab w:val="left" w:pos="737"/>
        <w:tab w:val="left" w:pos="1474"/>
        <w:tab w:val="left" w:pos="2041"/>
        <w:tab w:val="left" w:pos="5954"/>
        <w:tab w:val="right" w:pos="7655"/>
      </w:tabs>
      <w:spacing w:before="240" w:after="60"/>
      <w:jc w:val="both"/>
      <w:outlineLvl w:val="5"/>
    </w:pPr>
    <w:rPr>
      <w:b/>
      <w:bCs/>
      <w:sz w:val="22"/>
      <w:szCs w:val="22"/>
      <w:lang w:val="en-GB"/>
    </w:rPr>
  </w:style>
  <w:style w:type="paragraph" w:styleId="Heading7">
    <w:name w:val="heading 7"/>
    <w:basedOn w:val="Normal"/>
    <w:next w:val="Normal"/>
    <w:link w:val="Heading7Char"/>
    <w:qFormat/>
    <w:rsid w:val="00D6519D"/>
    <w:pPr>
      <w:tabs>
        <w:tab w:val="left" w:pos="737"/>
        <w:tab w:val="left" w:pos="1474"/>
        <w:tab w:val="left" w:pos="2041"/>
        <w:tab w:val="left" w:pos="5954"/>
        <w:tab w:val="right" w:pos="7655"/>
      </w:tabs>
      <w:spacing w:before="240" w:after="60"/>
      <w:jc w:val="both"/>
      <w:outlineLvl w:val="6"/>
    </w:pPr>
    <w:rPr>
      <w:lang w:val="en-GB"/>
    </w:rPr>
  </w:style>
  <w:style w:type="paragraph" w:styleId="Heading8">
    <w:name w:val="heading 8"/>
    <w:basedOn w:val="Normal"/>
    <w:next w:val="Normal"/>
    <w:link w:val="Heading8Char"/>
    <w:qFormat/>
    <w:rsid w:val="00D6519D"/>
    <w:pPr>
      <w:tabs>
        <w:tab w:val="left" w:pos="737"/>
        <w:tab w:val="left" w:pos="1474"/>
        <w:tab w:val="left" w:pos="2041"/>
        <w:tab w:val="left" w:pos="5954"/>
        <w:tab w:val="right" w:pos="7655"/>
      </w:tabs>
      <w:spacing w:before="240" w:after="60"/>
      <w:jc w:val="both"/>
      <w:outlineLvl w:val="7"/>
    </w:pPr>
    <w:rPr>
      <w:i/>
      <w:iCs/>
      <w:lang w:val="en-GB"/>
    </w:rPr>
  </w:style>
  <w:style w:type="paragraph" w:styleId="Heading9">
    <w:name w:val="heading 9"/>
    <w:basedOn w:val="Normal"/>
    <w:next w:val="Normal"/>
    <w:link w:val="Heading9Char"/>
    <w:qFormat/>
    <w:rsid w:val="00D6519D"/>
    <w:pPr>
      <w:tabs>
        <w:tab w:val="left" w:pos="737"/>
        <w:tab w:val="left" w:pos="1474"/>
        <w:tab w:val="left" w:pos="2041"/>
        <w:tab w:val="left" w:pos="5954"/>
        <w:tab w:val="right" w:pos="7655"/>
      </w:tabs>
      <w:spacing w:before="240" w:after="60"/>
      <w:jc w:val="both"/>
      <w:outlineLvl w:val="8"/>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76890"/>
    <w:rPr>
      <w:rFonts w:ascii="Arial" w:hAnsi="Arial" w:cs="Arial"/>
      <w:b/>
      <w:bCs/>
      <w:kern w:val="32"/>
      <w:sz w:val="32"/>
      <w:szCs w:val="32"/>
      <w:lang w:val="en-GB" w:eastAsia="en-GB"/>
    </w:rPr>
  </w:style>
  <w:style w:type="character" w:customStyle="1" w:styleId="Heading2Char">
    <w:name w:val="Heading 2 Char"/>
    <w:link w:val="Heading2"/>
    <w:rsid w:val="00A76890"/>
    <w:rPr>
      <w:rFonts w:ascii="Arial" w:hAnsi="Arial"/>
      <w:b/>
      <w:lang w:val="en-GB" w:eastAsia="en-GB"/>
    </w:rPr>
  </w:style>
  <w:style w:type="character" w:customStyle="1" w:styleId="Heading3Char">
    <w:name w:val="Heading 3 Char"/>
    <w:link w:val="Heading3"/>
    <w:uiPriority w:val="99"/>
    <w:rsid w:val="00A76890"/>
    <w:rPr>
      <w:rFonts w:ascii="Arial" w:hAnsi="Arial"/>
      <w:b/>
      <w:i/>
      <w:lang w:val="en-GB" w:eastAsia="en-GB"/>
    </w:rPr>
  </w:style>
  <w:style w:type="character" w:customStyle="1" w:styleId="Heading4Char">
    <w:name w:val="Heading 4 Char"/>
    <w:link w:val="Heading4"/>
    <w:uiPriority w:val="99"/>
    <w:rsid w:val="00A76890"/>
    <w:rPr>
      <w:rFonts w:ascii="Arial" w:eastAsiaTheme="majorEastAsia" w:hAnsi="Arial" w:cstheme="majorBidi"/>
      <w:i/>
      <w:lang w:val="en-GB" w:eastAsia="en-GB"/>
    </w:rPr>
  </w:style>
  <w:style w:type="character" w:customStyle="1" w:styleId="Heading5Char">
    <w:name w:val="Heading 5 Char"/>
    <w:link w:val="Heading5"/>
    <w:uiPriority w:val="99"/>
    <w:rsid w:val="00A76890"/>
    <w:rPr>
      <w:rFonts w:ascii="Arial" w:eastAsia="MS Mincho" w:hAnsi="Arial" w:cs="Arial"/>
      <w:b/>
      <w:sz w:val="40"/>
      <w:lang w:val="en-GB" w:eastAsia="en-GB"/>
    </w:rPr>
  </w:style>
  <w:style w:type="character" w:customStyle="1" w:styleId="Heading6Char">
    <w:name w:val="Heading 6 Char"/>
    <w:link w:val="Heading6"/>
    <w:rsid w:val="00923AC2"/>
    <w:rPr>
      <w:b/>
      <w:bCs/>
      <w:sz w:val="22"/>
      <w:szCs w:val="22"/>
      <w:lang w:val="en-GB"/>
    </w:rPr>
  </w:style>
  <w:style w:type="character" w:customStyle="1" w:styleId="Heading7Char">
    <w:name w:val="Heading 7 Char"/>
    <w:link w:val="Heading7"/>
    <w:rsid w:val="00923AC2"/>
    <w:rPr>
      <w:sz w:val="24"/>
      <w:szCs w:val="24"/>
      <w:lang w:val="en-GB"/>
    </w:rPr>
  </w:style>
  <w:style w:type="character" w:customStyle="1" w:styleId="Heading8Char">
    <w:name w:val="Heading 8 Char"/>
    <w:link w:val="Heading8"/>
    <w:rsid w:val="00923AC2"/>
    <w:rPr>
      <w:i/>
      <w:iCs/>
      <w:sz w:val="24"/>
      <w:szCs w:val="24"/>
      <w:lang w:val="en-GB"/>
    </w:rPr>
  </w:style>
  <w:style w:type="character" w:customStyle="1" w:styleId="Heading9Char">
    <w:name w:val="Heading 9 Char"/>
    <w:link w:val="Heading9"/>
    <w:rsid w:val="00923AC2"/>
    <w:rPr>
      <w:rFonts w:ascii="Arial" w:hAnsi="Arial" w:cs="Arial"/>
      <w:sz w:val="22"/>
      <w:szCs w:val="22"/>
      <w:lang w:val="en-GB"/>
    </w:rPr>
  </w:style>
  <w:style w:type="paragraph" w:customStyle="1" w:styleId="newline">
    <w:name w:val="newline"/>
    <w:basedOn w:val="Normal"/>
    <w:rsid w:val="00D6519D"/>
    <w:pPr>
      <w:tabs>
        <w:tab w:val="left" w:pos="737"/>
        <w:tab w:val="left" w:pos="1474"/>
        <w:tab w:val="left" w:pos="2041"/>
        <w:tab w:val="left" w:pos="5954"/>
        <w:tab w:val="right" w:pos="7655"/>
      </w:tabs>
      <w:jc w:val="both"/>
    </w:pPr>
    <w:rPr>
      <w:lang w:val="en-GB"/>
    </w:rPr>
  </w:style>
  <w:style w:type="paragraph" w:styleId="Footer">
    <w:name w:val="footer"/>
    <w:basedOn w:val="Normal"/>
    <w:link w:val="FooterChar"/>
    <w:uiPriority w:val="99"/>
    <w:rsid w:val="00D6519D"/>
    <w:pPr>
      <w:tabs>
        <w:tab w:val="center" w:pos="4153"/>
        <w:tab w:val="right" w:pos="8306"/>
      </w:tabs>
      <w:jc w:val="both"/>
    </w:pPr>
    <w:rPr>
      <w:lang w:val="en-GB"/>
    </w:rPr>
  </w:style>
  <w:style w:type="character" w:customStyle="1" w:styleId="FooterChar">
    <w:name w:val="Footer Char"/>
    <w:link w:val="Footer"/>
    <w:uiPriority w:val="99"/>
    <w:rsid w:val="00923AC2"/>
    <w:rPr>
      <w:rFonts w:ascii="Arial" w:hAnsi="Arial"/>
      <w:lang w:val="en-GB"/>
    </w:rPr>
  </w:style>
  <w:style w:type="paragraph" w:customStyle="1" w:styleId="Default">
    <w:name w:val="Default"/>
    <w:rsid w:val="00D6519D"/>
    <w:pPr>
      <w:autoSpaceDE w:val="0"/>
      <w:autoSpaceDN w:val="0"/>
      <w:adjustRightInd w:val="0"/>
    </w:pPr>
    <w:rPr>
      <w:rFonts w:ascii="Garamond" w:hAnsi="Garamond" w:cs="Garamond"/>
      <w:color w:val="000000"/>
      <w:sz w:val="24"/>
      <w:szCs w:val="24"/>
    </w:rPr>
  </w:style>
  <w:style w:type="paragraph" w:styleId="Header">
    <w:name w:val="header"/>
    <w:basedOn w:val="Normal"/>
    <w:link w:val="HeaderChar"/>
    <w:uiPriority w:val="99"/>
    <w:rsid w:val="00994EEF"/>
    <w:pPr>
      <w:tabs>
        <w:tab w:val="center" w:pos="4320"/>
        <w:tab w:val="right" w:pos="8640"/>
      </w:tabs>
    </w:pPr>
  </w:style>
  <w:style w:type="character" w:customStyle="1" w:styleId="HeaderChar">
    <w:name w:val="Header Char"/>
    <w:link w:val="Header"/>
    <w:uiPriority w:val="99"/>
    <w:rsid w:val="00923AC2"/>
    <w:rPr>
      <w:sz w:val="24"/>
      <w:szCs w:val="24"/>
    </w:rPr>
  </w:style>
  <w:style w:type="paragraph" w:customStyle="1" w:styleId="Indent1">
    <w:name w:val="Indent1"/>
    <w:basedOn w:val="Normal"/>
    <w:rsid w:val="00CE4BC9"/>
    <w:pPr>
      <w:tabs>
        <w:tab w:val="left" w:pos="737"/>
        <w:tab w:val="left" w:pos="1474"/>
        <w:tab w:val="left" w:pos="2041"/>
        <w:tab w:val="left" w:pos="5954"/>
        <w:tab w:val="right" w:pos="7655"/>
      </w:tabs>
      <w:ind w:left="737" w:hanging="737"/>
      <w:jc w:val="both"/>
    </w:pPr>
    <w:rPr>
      <w:lang w:val="en-GB"/>
    </w:rPr>
  </w:style>
  <w:style w:type="paragraph" w:customStyle="1" w:styleId="Indent2">
    <w:name w:val="Indent2"/>
    <w:basedOn w:val="Normal"/>
    <w:rsid w:val="00CE4BC9"/>
    <w:pPr>
      <w:tabs>
        <w:tab w:val="left" w:pos="737"/>
        <w:tab w:val="left" w:pos="1474"/>
        <w:tab w:val="left" w:pos="2041"/>
        <w:tab w:val="left" w:pos="5954"/>
        <w:tab w:val="right" w:pos="7655"/>
      </w:tabs>
      <w:ind w:left="1474" w:hanging="1474"/>
      <w:jc w:val="both"/>
    </w:pPr>
    <w:rPr>
      <w:lang w:val="en-GB"/>
    </w:rPr>
  </w:style>
  <w:style w:type="paragraph" w:customStyle="1" w:styleId="Indent3">
    <w:name w:val="Indent3"/>
    <w:basedOn w:val="Normal"/>
    <w:rsid w:val="00CE4BC9"/>
    <w:pPr>
      <w:tabs>
        <w:tab w:val="left" w:pos="737"/>
        <w:tab w:val="left" w:pos="1474"/>
        <w:tab w:val="left" w:pos="2041"/>
        <w:tab w:val="left" w:pos="5954"/>
        <w:tab w:val="right" w:pos="7655"/>
      </w:tabs>
      <w:ind w:left="2041" w:hanging="2041"/>
      <w:jc w:val="both"/>
    </w:pPr>
    <w:rPr>
      <w:lang w:val="en-GB"/>
    </w:rPr>
  </w:style>
  <w:style w:type="paragraph" w:customStyle="1" w:styleId="newline1">
    <w:name w:val="newline1"/>
    <w:basedOn w:val="Normal"/>
    <w:rsid w:val="00CE4BC9"/>
    <w:pPr>
      <w:tabs>
        <w:tab w:val="left" w:pos="737"/>
        <w:tab w:val="left" w:pos="1474"/>
        <w:tab w:val="left" w:pos="2041"/>
        <w:tab w:val="left" w:pos="5954"/>
        <w:tab w:val="right" w:pos="7655"/>
      </w:tabs>
      <w:ind w:left="737"/>
      <w:jc w:val="both"/>
    </w:pPr>
    <w:rPr>
      <w:lang w:val="en-GB"/>
    </w:rPr>
  </w:style>
  <w:style w:type="paragraph" w:customStyle="1" w:styleId="newline2">
    <w:name w:val="newline2"/>
    <w:basedOn w:val="Normal"/>
    <w:rsid w:val="00CE4BC9"/>
    <w:pPr>
      <w:tabs>
        <w:tab w:val="left" w:pos="737"/>
        <w:tab w:val="left" w:pos="1474"/>
        <w:tab w:val="left" w:pos="2041"/>
        <w:tab w:val="left" w:pos="5954"/>
        <w:tab w:val="right" w:pos="7655"/>
      </w:tabs>
      <w:ind w:left="1474"/>
      <w:jc w:val="both"/>
    </w:pPr>
    <w:rPr>
      <w:lang w:val="en-GB"/>
    </w:rPr>
  </w:style>
  <w:style w:type="paragraph" w:customStyle="1" w:styleId="newline3">
    <w:name w:val="newline3"/>
    <w:basedOn w:val="Normal"/>
    <w:rsid w:val="00CE4BC9"/>
    <w:pPr>
      <w:tabs>
        <w:tab w:val="left" w:pos="737"/>
        <w:tab w:val="left" w:pos="1474"/>
        <w:tab w:val="left" w:pos="2041"/>
        <w:tab w:val="left" w:pos="5954"/>
        <w:tab w:val="right" w:pos="7655"/>
      </w:tabs>
      <w:ind w:left="2041"/>
      <w:jc w:val="both"/>
    </w:pPr>
    <w:rPr>
      <w:lang w:val="en-GB"/>
    </w:rPr>
  </w:style>
  <w:style w:type="paragraph" w:customStyle="1" w:styleId="minutes">
    <w:name w:val="minutes"/>
    <w:basedOn w:val="Normal"/>
    <w:rsid w:val="00CE4BC9"/>
    <w:pPr>
      <w:tabs>
        <w:tab w:val="left" w:pos="737"/>
        <w:tab w:val="left" w:pos="1474"/>
        <w:tab w:val="left" w:pos="2041"/>
        <w:tab w:val="left" w:pos="5954"/>
        <w:tab w:val="right" w:pos="7655"/>
      </w:tabs>
      <w:ind w:left="3686" w:hanging="3686"/>
      <w:jc w:val="both"/>
    </w:pPr>
    <w:rPr>
      <w:lang w:val="en-GB"/>
    </w:rPr>
  </w:style>
  <w:style w:type="paragraph" w:styleId="EnvelopeAddress">
    <w:name w:val="envelope address"/>
    <w:basedOn w:val="Normal"/>
    <w:rsid w:val="00CE4BC9"/>
    <w:pPr>
      <w:framePr w:w="7920" w:h="1980" w:hRule="exact" w:hSpace="180" w:wrap="auto" w:hAnchor="page" w:xAlign="center" w:yAlign="bottom"/>
      <w:tabs>
        <w:tab w:val="left" w:pos="737"/>
        <w:tab w:val="left" w:pos="1474"/>
        <w:tab w:val="left" w:pos="2041"/>
        <w:tab w:val="left" w:pos="5954"/>
        <w:tab w:val="right" w:pos="7655"/>
      </w:tabs>
      <w:ind w:left="2880"/>
      <w:jc w:val="both"/>
    </w:pPr>
    <w:rPr>
      <w:lang w:val="en-GB"/>
    </w:rPr>
  </w:style>
  <w:style w:type="paragraph" w:customStyle="1" w:styleId="Border">
    <w:name w:val="Border"/>
    <w:basedOn w:val="Normal"/>
    <w:rsid w:val="00CE4BC9"/>
    <w:pPr>
      <w:pBdr>
        <w:bottom w:val="single" w:sz="12" w:space="1" w:color="auto"/>
      </w:pBdr>
      <w:tabs>
        <w:tab w:val="left" w:pos="737"/>
        <w:tab w:val="left" w:pos="1474"/>
        <w:tab w:val="left" w:pos="2041"/>
        <w:tab w:val="left" w:pos="5954"/>
        <w:tab w:val="right" w:pos="7655"/>
      </w:tabs>
      <w:jc w:val="both"/>
    </w:pPr>
    <w:rPr>
      <w:lang w:val="en-GB"/>
    </w:rPr>
  </w:style>
  <w:style w:type="paragraph" w:styleId="Title">
    <w:name w:val="Title"/>
    <w:basedOn w:val="Normal"/>
    <w:link w:val="TitleChar"/>
    <w:qFormat/>
    <w:rsid w:val="00CE4BC9"/>
    <w:pPr>
      <w:tabs>
        <w:tab w:val="left" w:pos="737"/>
        <w:tab w:val="left" w:pos="1474"/>
        <w:tab w:val="left" w:pos="2041"/>
        <w:tab w:val="left" w:pos="5954"/>
        <w:tab w:val="right" w:pos="7655"/>
      </w:tabs>
      <w:jc w:val="center"/>
    </w:pPr>
    <w:rPr>
      <w:b/>
      <w:u w:val="single"/>
      <w:lang w:val="en-GB"/>
    </w:rPr>
  </w:style>
  <w:style w:type="character" w:customStyle="1" w:styleId="TitleChar">
    <w:name w:val="Title Char"/>
    <w:link w:val="Title"/>
    <w:rsid w:val="00923AC2"/>
    <w:rPr>
      <w:rFonts w:ascii="Arial" w:hAnsi="Arial"/>
      <w:b/>
      <w:u w:val="single"/>
      <w:lang w:val="en-GB"/>
    </w:rPr>
  </w:style>
  <w:style w:type="character" w:styleId="PageNumber">
    <w:name w:val="page number"/>
    <w:basedOn w:val="DefaultParagraphFont"/>
    <w:rsid w:val="00CE4BC9"/>
  </w:style>
  <w:style w:type="paragraph" w:styleId="BodyTextIndent">
    <w:name w:val="Body Text Indent"/>
    <w:basedOn w:val="Normal"/>
    <w:link w:val="BodyTextIndentChar"/>
    <w:rsid w:val="00CE4BC9"/>
    <w:pPr>
      <w:tabs>
        <w:tab w:val="left" w:pos="737"/>
        <w:tab w:val="left" w:pos="1474"/>
        <w:tab w:val="left" w:pos="2041"/>
        <w:tab w:val="left" w:pos="4536"/>
        <w:tab w:val="right" w:pos="7655"/>
      </w:tabs>
      <w:ind w:left="735"/>
      <w:jc w:val="both"/>
    </w:pPr>
    <w:rPr>
      <w:lang w:val="en-GB"/>
    </w:rPr>
  </w:style>
  <w:style w:type="character" w:customStyle="1" w:styleId="BodyTextIndentChar">
    <w:name w:val="Body Text Indent Char"/>
    <w:link w:val="BodyTextIndent"/>
    <w:rsid w:val="00923AC2"/>
    <w:rPr>
      <w:rFonts w:ascii="Arial" w:hAnsi="Arial"/>
      <w:lang w:val="en-GB"/>
    </w:rPr>
  </w:style>
  <w:style w:type="paragraph" w:styleId="BalloonText">
    <w:name w:val="Balloon Text"/>
    <w:basedOn w:val="Normal"/>
    <w:link w:val="BalloonTextChar"/>
    <w:semiHidden/>
    <w:rsid w:val="00CE4BC9"/>
    <w:pPr>
      <w:tabs>
        <w:tab w:val="left" w:pos="737"/>
        <w:tab w:val="left" w:pos="1474"/>
        <w:tab w:val="left" w:pos="2041"/>
        <w:tab w:val="left" w:pos="5954"/>
        <w:tab w:val="right" w:pos="7655"/>
      </w:tabs>
      <w:jc w:val="both"/>
    </w:pPr>
    <w:rPr>
      <w:rFonts w:ascii="Tahoma" w:hAnsi="Tahoma"/>
      <w:sz w:val="16"/>
      <w:szCs w:val="16"/>
      <w:lang w:val="en-GB"/>
    </w:rPr>
  </w:style>
  <w:style w:type="character" w:customStyle="1" w:styleId="BalloonTextChar">
    <w:name w:val="Balloon Text Char"/>
    <w:link w:val="BalloonText"/>
    <w:semiHidden/>
    <w:rsid w:val="00923AC2"/>
    <w:rPr>
      <w:rFonts w:ascii="Tahoma" w:hAnsi="Tahoma" w:cs="Tahoma"/>
      <w:sz w:val="16"/>
      <w:szCs w:val="16"/>
      <w:lang w:val="en-GB"/>
    </w:rPr>
  </w:style>
  <w:style w:type="paragraph" w:customStyle="1" w:styleId="newlineRight">
    <w:name w:val="newline + Right"/>
    <w:basedOn w:val="newline"/>
    <w:rsid w:val="00CE4BC9"/>
    <w:pPr>
      <w:tabs>
        <w:tab w:val="clear" w:pos="737"/>
        <w:tab w:val="decimal" w:pos="1168"/>
      </w:tabs>
    </w:pPr>
    <w:rPr>
      <w:rFonts w:cs="Arial"/>
      <w:b/>
    </w:rPr>
  </w:style>
  <w:style w:type="character" w:styleId="CommentReference">
    <w:name w:val="annotation reference"/>
    <w:semiHidden/>
    <w:rsid w:val="00CE4BC9"/>
    <w:rPr>
      <w:sz w:val="16"/>
      <w:szCs w:val="16"/>
    </w:rPr>
  </w:style>
  <w:style w:type="paragraph" w:styleId="CommentText">
    <w:name w:val="annotation text"/>
    <w:basedOn w:val="Normal"/>
    <w:link w:val="CommentTextChar"/>
    <w:semiHidden/>
    <w:rsid w:val="00CE4BC9"/>
    <w:pPr>
      <w:tabs>
        <w:tab w:val="left" w:pos="737"/>
        <w:tab w:val="left" w:pos="1474"/>
        <w:tab w:val="left" w:pos="2041"/>
        <w:tab w:val="left" w:pos="5954"/>
        <w:tab w:val="right" w:pos="7655"/>
      </w:tabs>
      <w:jc w:val="both"/>
    </w:pPr>
    <w:rPr>
      <w:lang w:val="en-GB"/>
    </w:rPr>
  </w:style>
  <w:style w:type="character" w:customStyle="1" w:styleId="CommentTextChar">
    <w:name w:val="Comment Text Char"/>
    <w:link w:val="CommentText"/>
    <w:uiPriority w:val="99"/>
    <w:semiHidden/>
    <w:rsid w:val="00923AC2"/>
    <w:rPr>
      <w:rFonts w:ascii="Arial" w:hAnsi="Arial"/>
      <w:lang w:val="en-GB"/>
    </w:rPr>
  </w:style>
  <w:style w:type="paragraph" w:styleId="CommentSubject">
    <w:name w:val="annotation subject"/>
    <w:basedOn w:val="CommentText"/>
    <w:next w:val="CommentText"/>
    <w:link w:val="CommentSubjectChar"/>
    <w:semiHidden/>
    <w:rsid w:val="009D4CDC"/>
    <w:pPr>
      <w:tabs>
        <w:tab w:val="clear" w:pos="737"/>
        <w:tab w:val="clear" w:pos="1474"/>
        <w:tab w:val="clear" w:pos="2041"/>
        <w:tab w:val="clear" w:pos="5954"/>
        <w:tab w:val="clear" w:pos="7655"/>
      </w:tabs>
      <w:jc w:val="left"/>
    </w:pPr>
    <w:rPr>
      <w:b/>
      <w:bCs/>
    </w:rPr>
  </w:style>
  <w:style w:type="character" w:customStyle="1" w:styleId="CommentSubjectChar">
    <w:name w:val="Comment Subject Char"/>
    <w:link w:val="CommentSubject"/>
    <w:semiHidden/>
    <w:rsid w:val="00923AC2"/>
    <w:rPr>
      <w:rFonts w:ascii="Arial" w:hAnsi="Arial"/>
      <w:b/>
      <w:bCs/>
      <w:lang w:val="en-GB"/>
    </w:rPr>
  </w:style>
  <w:style w:type="paragraph" w:customStyle="1" w:styleId="CharCharCharCharCharCharChar">
    <w:name w:val="Char Char Char Char Char Char Char"/>
    <w:basedOn w:val="Normal"/>
    <w:autoRedefine/>
    <w:rsid w:val="00A72350"/>
    <w:pPr>
      <w:spacing w:after="160"/>
    </w:pPr>
    <w:rPr>
      <w:rFonts w:ascii="Bookman Old Style" w:hAnsi="Bookman Old Style" w:cs="Angsana New"/>
      <w:b/>
      <w:bCs/>
      <w:iCs/>
      <w:sz w:val="32"/>
      <w:lang w:val="en-GB" w:bidi="th-TH"/>
    </w:rPr>
  </w:style>
  <w:style w:type="table" w:styleId="TableGrid">
    <w:name w:val="Table Grid"/>
    <w:basedOn w:val="TableNormal"/>
    <w:rsid w:val="00CC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3AC2"/>
    <w:pPr>
      <w:ind w:left="720"/>
    </w:pPr>
  </w:style>
  <w:style w:type="paragraph" w:styleId="BodyText">
    <w:name w:val="Body Text"/>
    <w:basedOn w:val="Normal"/>
    <w:link w:val="BodyTextChar"/>
    <w:rsid w:val="00923AC2"/>
    <w:pPr>
      <w:jc w:val="both"/>
    </w:pPr>
    <w:rPr>
      <w:sz w:val="22"/>
      <w:lang w:val="en-GB"/>
    </w:rPr>
  </w:style>
  <w:style w:type="character" w:customStyle="1" w:styleId="BodyTextChar">
    <w:name w:val="Body Text Char"/>
    <w:link w:val="BodyText"/>
    <w:rsid w:val="00923AC2"/>
    <w:rPr>
      <w:sz w:val="22"/>
      <w:lang w:val="en-GB"/>
    </w:rPr>
  </w:style>
  <w:style w:type="paragraph" w:styleId="FootnoteText">
    <w:name w:val="footnote text"/>
    <w:basedOn w:val="Normal"/>
    <w:link w:val="FootnoteTextChar"/>
    <w:rsid w:val="00A04EF3"/>
    <w:pPr>
      <w:tabs>
        <w:tab w:val="left" w:pos="720"/>
        <w:tab w:val="left" w:pos="1440"/>
        <w:tab w:val="right" w:pos="9720"/>
      </w:tabs>
      <w:jc w:val="both"/>
    </w:pPr>
    <w:rPr>
      <w:lang w:val="en-GB" w:eastAsia="en-GB"/>
    </w:rPr>
  </w:style>
  <w:style w:type="character" w:customStyle="1" w:styleId="FootnoteTextChar">
    <w:name w:val="Footnote Text Char"/>
    <w:link w:val="FootnoteText"/>
    <w:rsid w:val="00A04EF3"/>
    <w:rPr>
      <w:lang w:val="en-GB" w:eastAsia="en-GB"/>
    </w:rPr>
  </w:style>
  <w:style w:type="paragraph" w:customStyle="1" w:styleId="Intro">
    <w:name w:val="Intro"/>
    <w:basedOn w:val="Normal"/>
    <w:rsid w:val="00A857BE"/>
    <w:pPr>
      <w:spacing w:line="580" w:lineRule="exact"/>
    </w:pPr>
    <w:rPr>
      <w:rFonts w:ascii="Arial Narrow" w:hAnsi="Arial Narrow" w:cs="Arial Narrow"/>
      <w:sz w:val="40"/>
      <w:szCs w:val="40"/>
      <w:lang w:val="en-GB"/>
    </w:rPr>
  </w:style>
  <w:style w:type="paragraph" w:styleId="TOC1">
    <w:name w:val="toc 1"/>
    <w:basedOn w:val="Normal"/>
    <w:next w:val="Normal"/>
    <w:autoRedefine/>
    <w:uiPriority w:val="39"/>
    <w:rsid w:val="003F7F0A"/>
  </w:style>
  <w:style w:type="paragraph" w:styleId="TOC2">
    <w:name w:val="toc 2"/>
    <w:basedOn w:val="Normal"/>
    <w:next w:val="Normal"/>
    <w:autoRedefine/>
    <w:semiHidden/>
    <w:rsid w:val="003F7F0A"/>
    <w:pPr>
      <w:ind w:left="240"/>
    </w:pPr>
  </w:style>
  <w:style w:type="character" w:styleId="Hyperlink">
    <w:name w:val="Hyperlink"/>
    <w:rsid w:val="003F7F0A"/>
    <w:rPr>
      <w:color w:val="0000FF"/>
      <w:u w:val="single"/>
    </w:rPr>
  </w:style>
  <w:style w:type="paragraph" w:customStyle="1" w:styleId="CharCharCharChar">
    <w:name w:val="Char Char Char Char"/>
    <w:basedOn w:val="Normal"/>
    <w:rsid w:val="00A40957"/>
    <w:pPr>
      <w:widowControl w:val="0"/>
      <w:spacing w:line="280" w:lineRule="atLeast"/>
    </w:pPr>
    <w:rPr>
      <w:rFonts w:eastAsia="MS Mincho"/>
      <w:sz w:val="22"/>
      <w:lang w:val="en-GB" w:eastAsia="en-GB"/>
    </w:rPr>
  </w:style>
  <w:style w:type="paragraph" w:styleId="PlainText">
    <w:name w:val="Plain Text"/>
    <w:basedOn w:val="Normal"/>
    <w:rsid w:val="00F62723"/>
    <w:rPr>
      <w:rFonts w:ascii="Courier New" w:hAnsi="Courier New"/>
    </w:rPr>
  </w:style>
  <w:style w:type="paragraph" w:styleId="Revision">
    <w:name w:val="Revision"/>
    <w:hidden/>
    <w:uiPriority w:val="99"/>
    <w:semiHidden/>
    <w:rsid w:val="00BD5435"/>
    <w:rPr>
      <w:sz w:val="24"/>
      <w:szCs w:val="24"/>
    </w:rPr>
  </w:style>
  <w:style w:type="paragraph" w:customStyle="1" w:styleId="Char">
    <w:name w:val="Char"/>
    <w:basedOn w:val="Normal"/>
    <w:rsid w:val="006E4BCE"/>
    <w:pPr>
      <w:spacing w:after="160" w:line="240" w:lineRule="exact"/>
    </w:pPr>
    <w:rPr>
      <w:rFonts w:ascii="Verdana" w:hAnsi="Verdana"/>
      <w:lang w:bidi="hi-IN"/>
    </w:rPr>
  </w:style>
  <w:style w:type="paragraph" w:styleId="TableofFigures">
    <w:name w:val="table of figures"/>
    <w:basedOn w:val="Normal"/>
    <w:next w:val="Normal"/>
    <w:rsid w:val="00323486"/>
  </w:style>
  <w:style w:type="paragraph" w:customStyle="1" w:styleId="NormalGaramond">
    <w:name w:val="Normal + Garamond"/>
    <w:aliases w:val="14 pt,Bold,Underline"/>
    <w:basedOn w:val="Normal"/>
    <w:link w:val="NormalGaramondChar"/>
    <w:rsid w:val="00A100C4"/>
    <w:pPr>
      <w:jc w:val="both"/>
    </w:pPr>
    <w:rPr>
      <w:rFonts w:ascii="Garamond" w:hAnsi="Garamond"/>
      <w:b/>
      <w:sz w:val="28"/>
      <w:szCs w:val="28"/>
    </w:rPr>
  </w:style>
  <w:style w:type="character" w:customStyle="1" w:styleId="NormalGaramondChar">
    <w:name w:val="Normal + Garamond Char"/>
    <w:aliases w:val="14 pt Char,Bold Char,Underline Char"/>
    <w:link w:val="NormalGaramond"/>
    <w:rsid w:val="00A100C4"/>
    <w:rPr>
      <w:rFonts w:ascii="Garamond" w:hAnsi="Garamond" w:cs="Arial"/>
      <w:b/>
      <w:sz w:val="28"/>
      <w:szCs w:val="28"/>
    </w:rPr>
  </w:style>
  <w:style w:type="character" w:styleId="Emphasis">
    <w:name w:val="Emphasis"/>
    <w:uiPriority w:val="20"/>
    <w:qFormat/>
    <w:rsid w:val="0026343A"/>
    <w:rPr>
      <w:i/>
      <w:iCs/>
    </w:rPr>
  </w:style>
  <w:style w:type="character" w:styleId="LineNumber">
    <w:name w:val="line number"/>
    <w:basedOn w:val="DefaultParagraphFont"/>
    <w:rsid w:val="00FB5ECA"/>
  </w:style>
  <w:style w:type="paragraph" w:customStyle="1" w:styleId="NormalSpaced">
    <w:name w:val="NormalSpaced"/>
    <w:basedOn w:val="Normal"/>
    <w:next w:val="Normal"/>
    <w:rsid w:val="00FF7E77"/>
    <w:pPr>
      <w:spacing w:after="240" w:line="300" w:lineRule="atLeast"/>
      <w:jc w:val="both"/>
    </w:pPr>
    <w:rPr>
      <w:rFonts w:ascii="NewsGoth BT" w:hAnsi="NewsGoth BT"/>
      <w:sz w:val="22"/>
      <w:lang w:val="en-GB"/>
    </w:rPr>
  </w:style>
  <w:style w:type="character" w:customStyle="1" w:styleId="apple-converted-space">
    <w:name w:val="apple-converted-space"/>
    <w:basedOn w:val="DefaultParagraphFont"/>
    <w:rsid w:val="00D57CF9"/>
  </w:style>
  <w:style w:type="paragraph" w:styleId="NormalWeb">
    <w:name w:val="Normal (Web)"/>
    <w:basedOn w:val="Normal"/>
    <w:uiPriority w:val="99"/>
    <w:rsid w:val="000848B1"/>
    <w:pPr>
      <w:spacing w:before="100" w:beforeAutospacing="1" w:after="100" w:afterAutospacing="1"/>
    </w:pPr>
    <w:rPr>
      <w:rFonts w:ascii="Arial Unicode MS" w:eastAsia="Arial Unicode MS" w:hAnsi="Arial Unicode MS" w:cs="Arial Unicode MS"/>
    </w:rPr>
  </w:style>
  <w:style w:type="paragraph" w:customStyle="1" w:styleId="Bullet1">
    <w:name w:val="Bullet 1"/>
    <w:basedOn w:val="Normal"/>
    <w:link w:val="Bullet1Char"/>
    <w:qFormat/>
    <w:rsid w:val="00A76890"/>
    <w:pPr>
      <w:tabs>
        <w:tab w:val="num" w:pos="567"/>
      </w:tabs>
      <w:spacing w:before="40" w:line="264" w:lineRule="auto"/>
      <w:ind w:left="567" w:hanging="567"/>
      <w:jc w:val="both"/>
    </w:pPr>
    <w:rPr>
      <w:rFonts w:eastAsia="Franklin Gothic Book" w:cs="Franklin Gothic Book"/>
      <w:lang w:val="en-GB"/>
    </w:rPr>
  </w:style>
  <w:style w:type="character" w:customStyle="1" w:styleId="Bullet1Char">
    <w:name w:val="Bullet 1 Char"/>
    <w:link w:val="Bullet1"/>
    <w:rsid w:val="00A76890"/>
    <w:rPr>
      <w:rFonts w:ascii="Arial" w:eastAsia="Franklin Gothic Book" w:hAnsi="Arial" w:cs="Franklin Gothic Book"/>
      <w:lang w:val="en-GB"/>
    </w:rPr>
  </w:style>
  <w:style w:type="paragraph" w:customStyle="1" w:styleId="Bullet2">
    <w:name w:val="Bullet 2"/>
    <w:basedOn w:val="Normal"/>
    <w:next w:val="Bullet1"/>
    <w:uiPriority w:val="99"/>
    <w:rsid w:val="00A76890"/>
    <w:pPr>
      <w:numPr>
        <w:numId w:val="6"/>
      </w:numPr>
      <w:spacing w:before="30" w:line="264" w:lineRule="auto"/>
      <w:jc w:val="both"/>
    </w:pPr>
    <w:rPr>
      <w:rFonts w:eastAsia="MS Mincho" w:cs="Arial"/>
      <w:lang w:val="en-GB"/>
    </w:rPr>
  </w:style>
  <w:style w:type="paragraph" w:customStyle="1" w:styleId="Bullet3">
    <w:name w:val="Bullet 3"/>
    <w:basedOn w:val="Normal"/>
    <w:rsid w:val="00A76890"/>
    <w:pPr>
      <w:numPr>
        <w:ilvl w:val="2"/>
        <w:numId w:val="7"/>
      </w:numPr>
      <w:spacing w:before="30"/>
      <w:jc w:val="both"/>
    </w:pPr>
    <w:rPr>
      <w:lang w:val="en-GB"/>
    </w:rPr>
  </w:style>
  <w:style w:type="paragraph" w:customStyle="1" w:styleId="Heading1-Part">
    <w:name w:val="Heading 1 - Part"/>
    <w:basedOn w:val="Heading1"/>
    <w:next w:val="Normal"/>
    <w:link w:val="Heading1-PartChar"/>
    <w:rsid w:val="00A76890"/>
    <w:pPr>
      <w:keepLines/>
      <w:spacing w:before="0" w:after="0" w:line="240" w:lineRule="auto"/>
      <w:jc w:val="center"/>
    </w:pPr>
    <w:rPr>
      <w:rFonts w:ascii="Arial Black" w:hAnsi="Arial Black"/>
      <w:bCs w:val="0"/>
      <w:caps/>
      <w:kern w:val="0"/>
      <w:sz w:val="24"/>
      <w:szCs w:val="20"/>
    </w:rPr>
  </w:style>
  <w:style w:type="character" w:customStyle="1" w:styleId="Heading1-PartChar">
    <w:name w:val="Heading 1 - Part Char"/>
    <w:link w:val="Heading1-Part"/>
    <w:locked/>
    <w:rsid w:val="00A76890"/>
    <w:rPr>
      <w:rFonts w:ascii="Arial Black" w:hAnsi="Arial Black" w:cs="Arial"/>
      <w:b/>
      <w:caps/>
      <w:sz w:val="24"/>
      <w:lang w:val="en-GB" w:eastAsia="en-GB"/>
    </w:rPr>
  </w:style>
  <w:style w:type="paragraph" w:customStyle="1" w:styleId="Heading2-Para">
    <w:name w:val="Heading 2 - Para."/>
    <w:basedOn w:val="Normal"/>
    <w:next w:val="Normal"/>
    <w:link w:val="Heading2-ParaChar"/>
    <w:rsid w:val="00B8249C"/>
    <w:pPr>
      <w:keepNext/>
      <w:keepLines/>
      <w:tabs>
        <w:tab w:val="left" w:pos="567"/>
        <w:tab w:val="left" w:pos="1134"/>
        <w:tab w:val="left" w:pos="1701"/>
        <w:tab w:val="left" w:pos="2268"/>
      </w:tabs>
      <w:spacing w:before="240"/>
      <w:jc w:val="both"/>
    </w:pPr>
    <w:rPr>
      <w:b/>
      <w:lang w:val="en-GB" w:eastAsia="en-GB"/>
    </w:rPr>
  </w:style>
  <w:style w:type="character" w:customStyle="1" w:styleId="Heading2-ParaChar">
    <w:name w:val="Heading 2 - Para. Char"/>
    <w:link w:val="Heading2-Para"/>
    <w:locked/>
    <w:rsid w:val="00B8249C"/>
    <w:rPr>
      <w:b/>
      <w:lang w:val="en-GB" w:eastAsia="en-GB"/>
    </w:rPr>
  </w:style>
  <w:style w:type="paragraph" w:customStyle="1" w:styleId="Heading3-Sub-para">
    <w:name w:val="Heading 3 - Sub-para."/>
    <w:basedOn w:val="Heading1-Part"/>
    <w:next w:val="Normal"/>
    <w:link w:val="Heading3-Sub-paraChar"/>
    <w:rsid w:val="00B8249C"/>
    <w:pPr>
      <w:tabs>
        <w:tab w:val="left" w:pos="567"/>
        <w:tab w:val="left" w:pos="1134"/>
        <w:tab w:val="left" w:pos="1701"/>
        <w:tab w:val="left" w:pos="2268"/>
      </w:tabs>
      <w:spacing w:before="120"/>
      <w:jc w:val="left"/>
    </w:pPr>
    <w:rPr>
      <w:rFonts w:ascii="Arial" w:hAnsi="Arial"/>
      <w:i/>
      <w:caps w:val="0"/>
      <w:sz w:val="20"/>
      <w:szCs w:val="28"/>
      <w:lang w:eastAsia="en-US"/>
    </w:rPr>
  </w:style>
  <w:style w:type="character" w:customStyle="1" w:styleId="Heading3-Sub-paraChar">
    <w:name w:val="Heading 3 - Sub-para. Char"/>
    <w:link w:val="Heading3-Sub-para"/>
    <w:locked/>
    <w:rsid w:val="00B8249C"/>
    <w:rPr>
      <w:rFonts w:cs="Arial"/>
      <w:b/>
      <w:i/>
      <w:szCs w:val="28"/>
      <w:lang w:val="en-GB"/>
    </w:rPr>
  </w:style>
  <w:style w:type="paragraph" w:customStyle="1" w:styleId="Heading4-Sub-sub-para">
    <w:name w:val="Heading 4 - Sub-sub-para."/>
    <w:basedOn w:val="Heading3-Sub-para"/>
    <w:next w:val="Normal"/>
    <w:rsid w:val="00A76890"/>
    <w:pPr>
      <w:spacing w:before="60"/>
    </w:pPr>
    <w:rPr>
      <w:b w:val="0"/>
    </w:rPr>
  </w:style>
  <w:style w:type="paragraph" w:customStyle="1" w:styleId="Normal2-Para">
    <w:name w:val="Normal 2 - Para."/>
    <w:basedOn w:val="Normal"/>
    <w:link w:val="Normal2-ParaChar"/>
    <w:rsid w:val="00A76890"/>
    <w:pPr>
      <w:spacing w:before="120" w:line="264" w:lineRule="auto"/>
      <w:jc w:val="both"/>
    </w:pPr>
    <w:rPr>
      <w:lang w:val="en-GB" w:eastAsia="en-GB"/>
    </w:rPr>
  </w:style>
  <w:style w:type="character" w:customStyle="1" w:styleId="Normal2-ParaChar">
    <w:name w:val="Normal 2 - Para. Char"/>
    <w:link w:val="Normal2-Para"/>
    <w:rsid w:val="00A76890"/>
    <w:rPr>
      <w:lang w:val="en-GB" w:eastAsia="en-GB"/>
    </w:rPr>
  </w:style>
  <w:style w:type="paragraph" w:customStyle="1" w:styleId="Normal3-Sub-para">
    <w:name w:val="Normal 3 - Sub-para."/>
    <w:basedOn w:val="Normal"/>
    <w:next w:val="Normal2-Para"/>
    <w:link w:val="Normal3-Sub-paraChar"/>
    <w:rsid w:val="00A76890"/>
    <w:pPr>
      <w:spacing w:before="60" w:line="264" w:lineRule="auto"/>
      <w:jc w:val="both"/>
    </w:pPr>
    <w:rPr>
      <w:rFonts w:cs="Arial"/>
      <w:lang w:val="en-GB" w:eastAsia="en-GB"/>
    </w:rPr>
  </w:style>
  <w:style w:type="character" w:customStyle="1" w:styleId="Normal3-Sub-paraChar">
    <w:name w:val="Normal 3 - Sub-para. Char"/>
    <w:link w:val="Normal3-Sub-para"/>
    <w:locked/>
    <w:rsid w:val="00A76890"/>
    <w:rPr>
      <w:rFonts w:cs="Arial"/>
      <w:lang w:val="en-GB" w:eastAsia="en-GB"/>
    </w:rPr>
  </w:style>
  <w:style w:type="paragraph" w:customStyle="1" w:styleId="Normal4-Sub-sub-para">
    <w:name w:val="Normal 4 - Sub-sub-para."/>
    <w:basedOn w:val="Normal3-Sub-para"/>
    <w:next w:val="Normal3-Sub-para"/>
    <w:link w:val="Normal4-Sub-sub-paraChar"/>
    <w:rsid w:val="00A76890"/>
    <w:pPr>
      <w:spacing w:before="30"/>
      <w:ind w:left="1134"/>
    </w:pPr>
  </w:style>
  <w:style w:type="character" w:customStyle="1" w:styleId="Normal4-Sub-sub-paraChar">
    <w:name w:val="Normal 4 - Sub-sub-para. Char"/>
    <w:basedOn w:val="Normal3-Sub-paraChar"/>
    <w:link w:val="Normal4-Sub-sub-para"/>
    <w:locked/>
    <w:rsid w:val="00A76890"/>
    <w:rPr>
      <w:rFonts w:cs="Arial"/>
      <w:lang w:val="en-GB" w:eastAsia="en-GB"/>
    </w:rPr>
  </w:style>
  <w:style w:type="paragraph" w:customStyle="1" w:styleId="Normal-Table">
    <w:name w:val="Normal - Table"/>
    <w:basedOn w:val="Normal"/>
    <w:qFormat/>
    <w:rsid w:val="00B8249C"/>
    <w:pPr>
      <w:keepNext/>
      <w:keepLines/>
    </w:pPr>
    <w:rPr>
      <w:rFonts w:cs="Arial"/>
      <w:bCs/>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890"/>
  </w:style>
  <w:style w:type="paragraph" w:styleId="Heading1">
    <w:name w:val="heading 1"/>
    <w:basedOn w:val="Normal"/>
    <w:next w:val="Normal"/>
    <w:link w:val="Heading1Char"/>
    <w:uiPriority w:val="99"/>
    <w:qFormat/>
    <w:rsid w:val="00A76890"/>
    <w:pPr>
      <w:keepNext/>
      <w:spacing w:before="240" w:after="60" w:line="264" w:lineRule="auto"/>
      <w:jc w:val="both"/>
      <w:outlineLvl w:val="0"/>
    </w:pPr>
    <w:rPr>
      <w:rFonts w:cs="Arial"/>
      <w:b/>
      <w:bCs/>
      <w:kern w:val="32"/>
      <w:sz w:val="32"/>
      <w:szCs w:val="32"/>
      <w:lang w:val="en-GB" w:eastAsia="en-GB"/>
    </w:rPr>
  </w:style>
  <w:style w:type="paragraph" w:styleId="Heading2">
    <w:name w:val="heading 2"/>
    <w:basedOn w:val="Normal"/>
    <w:next w:val="Normal"/>
    <w:link w:val="Heading2Char"/>
    <w:rsid w:val="00A76890"/>
    <w:pPr>
      <w:keepNext/>
      <w:spacing w:before="120" w:line="264" w:lineRule="auto"/>
      <w:jc w:val="both"/>
      <w:outlineLvl w:val="1"/>
    </w:pPr>
    <w:rPr>
      <w:b/>
      <w:lang w:val="en-GB" w:eastAsia="en-GB"/>
    </w:rPr>
  </w:style>
  <w:style w:type="paragraph" w:styleId="Heading3">
    <w:name w:val="heading 3"/>
    <w:basedOn w:val="Normal"/>
    <w:next w:val="Normal"/>
    <w:link w:val="Heading3Char"/>
    <w:uiPriority w:val="99"/>
    <w:qFormat/>
    <w:rsid w:val="00A76890"/>
    <w:pPr>
      <w:keepNext/>
      <w:keepLines/>
      <w:spacing w:before="120" w:line="264" w:lineRule="auto"/>
      <w:jc w:val="both"/>
      <w:outlineLvl w:val="2"/>
    </w:pPr>
    <w:rPr>
      <w:b/>
      <w:i/>
      <w:lang w:val="en-GB" w:eastAsia="en-GB"/>
    </w:rPr>
  </w:style>
  <w:style w:type="paragraph" w:styleId="Heading4">
    <w:name w:val="heading 4"/>
    <w:basedOn w:val="Normal"/>
    <w:next w:val="Normal"/>
    <w:link w:val="Heading4Char"/>
    <w:uiPriority w:val="99"/>
    <w:qFormat/>
    <w:rsid w:val="00A76890"/>
    <w:pPr>
      <w:keepNext/>
      <w:spacing w:before="120" w:line="264" w:lineRule="auto"/>
      <w:jc w:val="both"/>
      <w:outlineLvl w:val="3"/>
    </w:pPr>
    <w:rPr>
      <w:rFonts w:eastAsiaTheme="majorEastAsia" w:cstheme="majorBidi"/>
      <w:i/>
      <w:lang w:val="en-GB" w:eastAsia="en-GB"/>
    </w:rPr>
  </w:style>
  <w:style w:type="paragraph" w:styleId="Heading5">
    <w:name w:val="heading 5"/>
    <w:basedOn w:val="Normal"/>
    <w:next w:val="Normal"/>
    <w:link w:val="Heading5Char"/>
    <w:uiPriority w:val="99"/>
    <w:qFormat/>
    <w:rsid w:val="00A76890"/>
    <w:pPr>
      <w:keepNext/>
      <w:spacing w:before="120" w:line="264" w:lineRule="auto"/>
      <w:jc w:val="center"/>
      <w:outlineLvl w:val="4"/>
    </w:pPr>
    <w:rPr>
      <w:rFonts w:eastAsia="MS Mincho" w:cs="Arial"/>
      <w:b/>
      <w:sz w:val="40"/>
      <w:lang w:val="en-GB" w:eastAsia="en-GB"/>
    </w:rPr>
  </w:style>
  <w:style w:type="paragraph" w:styleId="Heading6">
    <w:name w:val="heading 6"/>
    <w:basedOn w:val="Normal"/>
    <w:next w:val="Normal"/>
    <w:link w:val="Heading6Char"/>
    <w:qFormat/>
    <w:rsid w:val="00D6519D"/>
    <w:pPr>
      <w:tabs>
        <w:tab w:val="left" w:pos="737"/>
        <w:tab w:val="left" w:pos="1474"/>
        <w:tab w:val="left" w:pos="2041"/>
        <w:tab w:val="left" w:pos="5954"/>
        <w:tab w:val="right" w:pos="7655"/>
      </w:tabs>
      <w:spacing w:before="240" w:after="60"/>
      <w:jc w:val="both"/>
      <w:outlineLvl w:val="5"/>
    </w:pPr>
    <w:rPr>
      <w:b/>
      <w:bCs/>
      <w:sz w:val="22"/>
      <w:szCs w:val="22"/>
      <w:lang w:val="en-GB"/>
    </w:rPr>
  </w:style>
  <w:style w:type="paragraph" w:styleId="Heading7">
    <w:name w:val="heading 7"/>
    <w:basedOn w:val="Normal"/>
    <w:next w:val="Normal"/>
    <w:link w:val="Heading7Char"/>
    <w:qFormat/>
    <w:rsid w:val="00D6519D"/>
    <w:pPr>
      <w:tabs>
        <w:tab w:val="left" w:pos="737"/>
        <w:tab w:val="left" w:pos="1474"/>
        <w:tab w:val="left" w:pos="2041"/>
        <w:tab w:val="left" w:pos="5954"/>
        <w:tab w:val="right" w:pos="7655"/>
      </w:tabs>
      <w:spacing w:before="240" w:after="60"/>
      <w:jc w:val="both"/>
      <w:outlineLvl w:val="6"/>
    </w:pPr>
    <w:rPr>
      <w:lang w:val="en-GB"/>
    </w:rPr>
  </w:style>
  <w:style w:type="paragraph" w:styleId="Heading8">
    <w:name w:val="heading 8"/>
    <w:basedOn w:val="Normal"/>
    <w:next w:val="Normal"/>
    <w:link w:val="Heading8Char"/>
    <w:qFormat/>
    <w:rsid w:val="00D6519D"/>
    <w:pPr>
      <w:tabs>
        <w:tab w:val="left" w:pos="737"/>
        <w:tab w:val="left" w:pos="1474"/>
        <w:tab w:val="left" w:pos="2041"/>
        <w:tab w:val="left" w:pos="5954"/>
        <w:tab w:val="right" w:pos="7655"/>
      </w:tabs>
      <w:spacing w:before="240" w:after="60"/>
      <w:jc w:val="both"/>
      <w:outlineLvl w:val="7"/>
    </w:pPr>
    <w:rPr>
      <w:i/>
      <w:iCs/>
      <w:lang w:val="en-GB"/>
    </w:rPr>
  </w:style>
  <w:style w:type="paragraph" w:styleId="Heading9">
    <w:name w:val="heading 9"/>
    <w:basedOn w:val="Normal"/>
    <w:next w:val="Normal"/>
    <w:link w:val="Heading9Char"/>
    <w:qFormat/>
    <w:rsid w:val="00D6519D"/>
    <w:pPr>
      <w:tabs>
        <w:tab w:val="left" w:pos="737"/>
        <w:tab w:val="left" w:pos="1474"/>
        <w:tab w:val="left" w:pos="2041"/>
        <w:tab w:val="left" w:pos="5954"/>
        <w:tab w:val="right" w:pos="7655"/>
      </w:tabs>
      <w:spacing w:before="240" w:after="60"/>
      <w:jc w:val="both"/>
      <w:outlineLvl w:val="8"/>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76890"/>
    <w:rPr>
      <w:rFonts w:ascii="Arial" w:hAnsi="Arial" w:cs="Arial"/>
      <w:b/>
      <w:bCs/>
      <w:kern w:val="32"/>
      <w:sz w:val="32"/>
      <w:szCs w:val="32"/>
      <w:lang w:val="en-GB" w:eastAsia="en-GB"/>
    </w:rPr>
  </w:style>
  <w:style w:type="character" w:customStyle="1" w:styleId="Heading2Char">
    <w:name w:val="Heading 2 Char"/>
    <w:link w:val="Heading2"/>
    <w:rsid w:val="00A76890"/>
    <w:rPr>
      <w:rFonts w:ascii="Arial" w:hAnsi="Arial"/>
      <w:b/>
      <w:lang w:val="en-GB" w:eastAsia="en-GB"/>
    </w:rPr>
  </w:style>
  <w:style w:type="character" w:customStyle="1" w:styleId="Heading3Char">
    <w:name w:val="Heading 3 Char"/>
    <w:link w:val="Heading3"/>
    <w:uiPriority w:val="99"/>
    <w:rsid w:val="00A76890"/>
    <w:rPr>
      <w:rFonts w:ascii="Arial" w:hAnsi="Arial"/>
      <w:b/>
      <w:i/>
      <w:lang w:val="en-GB" w:eastAsia="en-GB"/>
    </w:rPr>
  </w:style>
  <w:style w:type="character" w:customStyle="1" w:styleId="Heading4Char">
    <w:name w:val="Heading 4 Char"/>
    <w:link w:val="Heading4"/>
    <w:uiPriority w:val="99"/>
    <w:rsid w:val="00A76890"/>
    <w:rPr>
      <w:rFonts w:ascii="Arial" w:eastAsiaTheme="majorEastAsia" w:hAnsi="Arial" w:cstheme="majorBidi"/>
      <w:i/>
      <w:lang w:val="en-GB" w:eastAsia="en-GB"/>
    </w:rPr>
  </w:style>
  <w:style w:type="character" w:customStyle="1" w:styleId="Heading5Char">
    <w:name w:val="Heading 5 Char"/>
    <w:link w:val="Heading5"/>
    <w:uiPriority w:val="99"/>
    <w:rsid w:val="00A76890"/>
    <w:rPr>
      <w:rFonts w:ascii="Arial" w:eastAsia="MS Mincho" w:hAnsi="Arial" w:cs="Arial"/>
      <w:b/>
      <w:sz w:val="40"/>
      <w:lang w:val="en-GB" w:eastAsia="en-GB"/>
    </w:rPr>
  </w:style>
  <w:style w:type="character" w:customStyle="1" w:styleId="Heading6Char">
    <w:name w:val="Heading 6 Char"/>
    <w:link w:val="Heading6"/>
    <w:rsid w:val="00923AC2"/>
    <w:rPr>
      <w:b/>
      <w:bCs/>
      <w:sz w:val="22"/>
      <w:szCs w:val="22"/>
      <w:lang w:val="en-GB"/>
    </w:rPr>
  </w:style>
  <w:style w:type="character" w:customStyle="1" w:styleId="Heading7Char">
    <w:name w:val="Heading 7 Char"/>
    <w:link w:val="Heading7"/>
    <w:rsid w:val="00923AC2"/>
    <w:rPr>
      <w:sz w:val="24"/>
      <w:szCs w:val="24"/>
      <w:lang w:val="en-GB"/>
    </w:rPr>
  </w:style>
  <w:style w:type="character" w:customStyle="1" w:styleId="Heading8Char">
    <w:name w:val="Heading 8 Char"/>
    <w:link w:val="Heading8"/>
    <w:rsid w:val="00923AC2"/>
    <w:rPr>
      <w:i/>
      <w:iCs/>
      <w:sz w:val="24"/>
      <w:szCs w:val="24"/>
      <w:lang w:val="en-GB"/>
    </w:rPr>
  </w:style>
  <w:style w:type="character" w:customStyle="1" w:styleId="Heading9Char">
    <w:name w:val="Heading 9 Char"/>
    <w:link w:val="Heading9"/>
    <w:rsid w:val="00923AC2"/>
    <w:rPr>
      <w:rFonts w:ascii="Arial" w:hAnsi="Arial" w:cs="Arial"/>
      <w:sz w:val="22"/>
      <w:szCs w:val="22"/>
      <w:lang w:val="en-GB"/>
    </w:rPr>
  </w:style>
  <w:style w:type="paragraph" w:customStyle="1" w:styleId="newline">
    <w:name w:val="newline"/>
    <w:basedOn w:val="Normal"/>
    <w:rsid w:val="00D6519D"/>
    <w:pPr>
      <w:tabs>
        <w:tab w:val="left" w:pos="737"/>
        <w:tab w:val="left" w:pos="1474"/>
        <w:tab w:val="left" w:pos="2041"/>
        <w:tab w:val="left" w:pos="5954"/>
        <w:tab w:val="right" w:pos="7655"/>
      </w:tabs>
      <w:jc w:val="both"/>
    </w:pPr>
    <w:rPr>
      <w:lang w:val="en-GB"/>
    </w:rPr>
  </w:style>
  <w:style w:type="paragraph" w:styleId="Footer">
    <w:name w:val="footer"/>
    <w:basedOn w:val="Normal"/>
    <w:link w:val="FooterChar"/>
    <w:uiPriority w:val="99"/>
    <w:rsid w:val="00D6519D"/>
    <w:pPr>
      <w:tabs>
        <w:tab w:val="center" w:pos="4153"/>
        <w:tab w:val="right" w:pos="8306"/>
      </w:tabs>
      <w:jc w:val="both"/>
    </w:pPr>
    <w:rPr>
      <w:lang w:val="en-GB"/>
    </w:rPr>
  </w:style>
  <w:style w:type="character" w:customStyle="1" w:styleId="FooterChar">
    <w:name w:val="Footer Char"/>
    <w:link w:val="Footer"/>
    <w:uiPriority w:val="99"/>
    <w:rsid w:val="00923AC2"/>
    <w:rPr>
      <w:rFonts w:ascii="Arial" w:hAnsi="Arial"/>
      <w:lang w:val="en-GB"/>
    </w:rPr>
  </w:style>
  <w:style w:type="paragraph" w:customStyle="1" w:styleId="Default">
    <w:name w:val="Default"/>
    <w:rsid w:val="00D6519D"/>
    <w:pPr>
      <w:autoSpaceDE w:val="0"/>
      <w:autoSpaceDN w:val="0"/>
      <w:adjustRightInd w:val="0"/>
    </w:pPr>
    <w:rPr>
      <w:rFonts w:ascii="Garamond" w:hAnsi="Garamond" w:cs="Garamond"/>
      <w:color w:val="000000"/>
      <w:sz w:val="24"/>
      <w:szCs w:val="24"/>
    </w:rPr>
  </w:style>
  <w:style w:type="paragraph" w:styleId="Header">
    <w:name w:val="header"/>
    <w:basedOn w:val="Normal"/>
    <w:link w:val="HeaderChar"/>
    <w:uiPriority w:val="99"/>
    <w:rsid w:val="00994EEF"/>
    <w:pPr>
      <w:tabs>
        <w:tab w:val="center" w:pos="4320"/>
        <w:tab w:val="right" w:pos="8640"/>
      </w:tabs>
    </w:pPr>
  </w:style>
  <w:style w:type="character" w:customStyle="1" w:styleId="HeaderChar">
    <w:name w:val="Header Char"/>
    <w:link w:val="Header"/>
    <w:uiPriority w:val="99"/>
    <w:rsid w:val="00923AC2"/>
    <w:rPr>
      <w:sz w:val="24"/>
      <w:szCs w:val="24"/>
    </w:rPr>
  </w:style>
  <w:style w:type="paragraph" w:customStyle="1" w:styleId="Indent1">
    <w:name w:val="Indent1"/>
    <w:basedOn w:val="Normal"/>
    <w:rsid w:val="00CE4BC9"/>
    <w:pPr>
      <w:tabs>
        <w:tab w:val="left" w:pos="737"/>
        <w:tab w:val="left" w:pos="1474"/>
        <w:tab w:val="left" w:pos="2041"/>
        <w:tab w:val="left" w:pos="5954"/>
        <w:tab w:val="right" w:pos="7655"/>
      </w:tabs>
      <w:ind w:left="737" w:hanging="737"/>
      <w:jc w:val="both"/>
    </w:pPr>
    <w:rPr>
      <w:lang w:val="en-GB"/>
    </w:rPr>
  </w:style>
  <w:style w:type="paragraph" w:customStyle="1" w:styleId="Indent2">
    <w:name w:val="Indent2"/>
    <w:basedOn w:val="Normal"/>
    <w:rsid w:val="00CE4BC9"/>
    <w:pPr>
      <w:tabs>
        <w:tab w:val="left" w:pos="737"/>
        <w:tab w:val="left" w:pos="1474"/>
        <w:tab w:val="left" w:pos="2041"/>
        <w:tab w:val="left" w:pos="5954"/>
        <w:tab w:val="right" w:pos="7655"/>
      </w:tabs>
      <w:ind w:left="1474" w:hanging="1474"/>
      <w:jc w:val="both"/>
    </w:pPr>
    <w:rPr>
      <w:lang w:val="en-GB"/>
    </w:rPr>
  </w:style>
  <w:style w:type="paragraph" w:customStyle="1" w:styleId="Indent3">
    <w:name w:val="Indent3"/>
    <w:basedOn w:val="Normal"/>
    <w:rsid w:val="00CE4BC9"/>
    <w:pPr>
      <w:tabs>
        <w:tab w:val="left" w:pos="737"/>
        <w:tab w:val="left" w:pos="1474"/>
        <w:tab w:val="left" w:pos="2041"/>
        <w:tab w:val="left" w:pos="5954"/>
        <w:tab w:val="right" w:pos="7655"/>
      </w:tabs>
      <w:ind w:left="2041" w:hanging="2041"/>
      <w:jc w:val="both"/>
    </w:pPr>
    <w:rPr>
      <w:lang w:val="en-GB"/>
    </w:rPr>
  </w:style>
  <w:style w:type="paragraph" w:customStyle="1" w:styleId="newline1">
    <w:name w:val="newline1"/>
    <w:basedOn w:val="Normal"/>
    <w:rsid w:val="00CE4BC9"/>
    <w:pPr>
      <w:tabs>
        <w:tab w:val="left" w:pos="737"/>
        <w:tab w:val="left" w:pos="1474"/>
        <w:tab w:val="left" w:pos="2041"/>
        <w:tab w:val="left" w:pos="5954"/>
        <w:tab w:val="right" w:pos="7655"/>
      </w:tabs>
      <w:ind w:left="737"/>
      <w:jc w:val="both"/>
    </w:pPr>
    <w:rPr>
      <w:lang w:val="en-GB"/>
    </w:rPr>
  </w:style>
  <w:style w:type="paragraph" w:customStyle="1" w:styleId="newline2">
    <w:name w:val="newline2"/>
    <w:basedOn w:val="Normal"/>
    <w:rsid w:val="00CE4BC9"/>
    <w:pPr>
      <w:tabs>
        <w:tab w:val="left" w:pos="737"/>
        <w:tab w:val="left" w:pos="1474"/>
        <w:tab w:val="left" w:pos="2041"/>
        <w:tab w:val="left" w:pos="5954"/>
        <w:tab w:val="right" w:pos="7655"/>
      </w:tabs>
      <w:ind w:left="1474"/>
      <w:jc w:val="both"/>
    </w:pPr>
    <w:rPr>
      <w:lang w:val="en-GB"/>
    </w:rPr>
  </w:style>
  <w:style w:type="paragraph" w:customStyle="1" w:styleId="newline3">
    <w:name w:val="newline3"/>
    <w:basedOn w:val="Normal"/>
    <w:rsid w:val="00CE4BC9"/>
    <w:pPr>
      <w:tabs>
        <w:tab w:val="left" w:pos="737"/>
        <w:tab w:val="left" w:pos="1474"/>
        <w:tab w:val="left" w:pos="2041"/>
        <w:tab w:val="left" w:pos="5954"/>
        <w:tab w:val="right" w:pos="7655"/>
      </w:tabs>
      <w:ind w:left="2041"/>
      <w:jc w:val="both"/>
    </w:pPr>
    <w:rPr>
      <w:lang w:val="en-GB"/>
    </w:rPr>
  </w:style>
  <w:style w:type="paragraph" w:customStyle="1" w:styleId="minutes">
    <w:name w:val="minutes"/>
    <w:basedOn w:val="Normal"/>
    <w:rsid w:val="00CE4BC9"/>
    <w:pPr>
      <w:tabs>
        <w:tab w:val="left" w:pos="737"/>
        <w:tab w:val="left" w:pos="1474"/>
        <w:tab w:val="left" w:pos="2041"/>
        <w:tab w:val="left" w:pos="5954"/>
        <w:tab w:val="right" w:pos="7655"/>
      </w:tabs>
      <w:ind w:left="3686" w:hanging="3686"/>
      <w:jc w:val="both"/>
    </w:pPr>
    <w:rPr>
      <w:lang w:val="en-GB"/>
    </w:rPr>
  </w:style>
  <w:style w:type="paragraph" w:styleId="EnvelopeAddress">
    <w:name w:val="envelope address"/>
    <w:basedOn w:val="Normal"/>
    <w:rsid w:val="00CE4BC9"/>
    <w:pPr>
      <w:framePr w:w="7920" w:h="1980" w:hRule="exact" w:hSpace="180" w:wrap="auto" w:hAnchor="page" w:xAlign="center" w:yAlign="bottom"/>
      <w:tabs>
        <w:tab w:val="left" w:pos="737"/>
        <w:tab w:val="left" w:pos="1474"/>
        <w:tab w:val="left" w:pos="2041"/>
        <w:tab w:val="left" w:pos="5954"/>
        <w:tab w:val="right" w:pos="7655"/>
      </w:tabs>
      <w:ind w:left="2880"/>
      <w:jc w:val="both"/>
    </w:pPr>
    <w:rPr>
      <w:lang w:val="en-GB"/>
    </w:rPr>
  </w:style>
  <w:style w:type="paragraph" w:customStyle="1" w:styleId="Border">
    <w:name w:val="Border"/>
    <w:basedOn w:val="Normal"/>
    <w:rsid w:val="00CE4BC9"/>
    <w:pPr>
      <w:pBdr>
        <w:bottom w:val="single" w:sz="12" w:space="1" w:color="auto"/>
      </w:pBdr>
      <w:tabs>
        <w:tab w:val="left" w:pos="737"/>
        <w:tab w:val="left" w:pos="1474"/>
        <w:tab w:val="left" w:pos="2041"/>
        <w:tab w:val="left" w:pos="5954"/>
        <w:tab w:val="right" w:pos="7655"/>
      </w:tabs>
      <w:jc w:val="both"/>
    </w:pPr>
    <w:rPr>
      <w:lang w:val="en-GB"/>
    </w:rPr>
  </w:style>
  <w:style w:type="paragraph" w:styleId="Title">
    <w:name w:val="Title"/>
    <w:basedOn w:val="Normal"/>
    <w:link w:val="TitleChar"/>
    <w:qFormat/>
    <w:rsid w:val="00CE4BC9"/>
    <w:pPr>
      <w:tabs>
        <w:tab w:val="left" w:pos="737"/>
        <w:tab w:val="left" w:pos="1474"/>
        <w:tab w:val="left" w:pos="2041"/>
        <w:tab w:val="left" w:pos="5954"/>
        <w:tab w:val="right" w:pos="7655"/>
      </w:tabs>
      <w:jc w:val="center"/>
    </w:pPr>
    <w:rPr>
      <w:b/>
      <w:u w:val="single"/>
      <w:lang w:val="en-GB"/>
    </w:rPr>
  </w:style>
  <w:style w:type="character" w:customStyle="1" w:styleId="TitleChar">
    <w:name w:val="Title Char"/>
    <w:link w:val="Title"/>
    <w:rsid w:val="00923AC2"/>
    <w:rPr>
      <w:rFonts w:ascii="Arial" w:hAnsi="Arial"/>
      <w:b/>
      <w:u w:val="single"/>
      <w:lang w:val="en-GB"/>
    </w:rPr>
  </w:style>
  <w:style w:type="character" w:styleId="PageNumber">
    <w:name w:val="page number"/>
    <w:basedOn w:val="DefaultParagraphFont"/>
    <w:rsid w:val="00CE4BC9"/>
  </w:style>
  <w:style w:type="paragraph" w:styleId="BodyTextIndent">
    <w:name w:val="Body Text Indent"/>
    <w:basedOn w:val="Normal"/>
    <w:link w:val="BodyTextIndentChar"/>
    <w:rsid w:val="00CE4BC9"/>
    <w:pPr>
      <w:tabs>
        <w:tab w:val="left" w:pos="737"/>
        <w:tab w:val="left" w:pos="1474"/>
        <w:tab w:val="left" w:pos="2041"/>
        <w:tab w:val="left" w:pos="4536"/>
        <w:tab w:val="right" w:pos="7655"/>
      </w:tabs>
      <w:ind w:left="735"/>
      <w:jc w:val="both"/>
    </w:pPr>
    <w:rPr>
      <w:lang w:val="en-GB"/>
    </w:rPr>
  </w:style>
  <w:style w:type="character" w:customStyle="1" w:styleId="BodyTextIndentChar">
    <w:name w:val="Body Text Indent Char"/>
    <w:link w:val="BodyTextIndent"/>
    <w:rsid w:val="00923AC2"/>
    <w:rPr>
      <w:rFonts w:ascii="Arial" w:hAnsi="Arial"/>
      <w:lang w:val="en-GB"/>
    </w:rPr>
  </w:style>
  <w:style w:type="paragraph" w:styleId="BalloonText">
    <w:name w:val="Balloon Text"/>
    <w:basedOn w:val="Normal"/>
    <w:link w:val="BalloonTextChar"/>
    <w:semiHidden/>
    <w:rsid w:val="00CE4BC9"/>
    <w:pPr>
      <w:tabs>
        <w:tab w:val="left" w:pos="737"/>
        <w:tab w:val="left" w:pos="1474"/>
        <w:tab w:val="left" w:pos="2041"/>
        <w:tab w:val="left" w:pos="5954"/>
        <w:tab w:val="right" w:pos="7655"/>
      </w:tabs>
      <w:jc w:val="both"/>
    </w:pPr>
    <w:rPr>
      <w:rFonts w:ascii="Tahoma" w:hAnsi="Tahoma"/>
      <w:sz w:val="16"/>
      <w:szCs w:val="16"/>
      <w:lang w:val="en-GB"/>
    </w:rPr>
  </w:style>
  <w:style w:type="character" w:customStyle="1" w:styleId="BalloonTextChar">
    <w:name w:val="Balloon Text Char"/>
    <w:link w:val="BalloonText"/>
    <w:semiHidden/>
    <w:rsid w:val="00923AC2"/>
    <w:rPr>
      <w:rFonts w:ascii="Tahoma" w:hAnsi="Tahoma" w:cs="Tahoma"/>
      <w:sz w:val="16"/>
      <w:szCs w:val="16"/>
      <w:lang w:val="en-GB"/>
    </w:rPr>
  </w:style>
  <w:style w:type="paragraph" w:customStyle="1" w:styleId="newlineRight">
    <w:name w:val="newline + Right"/>
    <w:basedOn w:val="newline"/>
    <w:rsid w:val="00CE4BC9"/>
    <w:pPr>
      <w:tabs>
        <w:tab w:val="clear" w:pos="737"/>
        <w:tab w:val="decimal" w:pos="1168"/>
      </w:tabs>
    </w:pPr>
    <w:rPr>
      <w:rFonts w:cs="Arial"/>
      <w:b/>
    </w:rPr>
  </w:style>
  <w:style w:type="character" w:styleId="CommentReference">
    <w:name w:val="annotation reference"/>
    <w:semiHidden/>
    <w:rsid w:val="00CE4BC9"/>
    <w:rPr>
      <w:sz w:val="16"/>
      <w:szCs w:val="16"/>
    </w:rPr>
  </w:style>
  <w:style w:type="paragraph" w:styleId="CommentText">
    <w:name w:val="annotation text"/>
    <w:basedOn w:val="Normal"/>
    <w:link w:val="CommentTextChar"/>
    <w:semiHidden/>
    <w:rsid w:val="00CE4BC9"/>
    <w:pPr>
      <w:tabs>
        <w:tab w:val="left" w:pos="737"/>
        <w:tab w:val="left" w:pos="1474"/>
        <w:tab w:val="left" w:pos="2041"/>
        <w:tab w:val="left" w:pos="5954"/>
        <w:tab w:val="right" w:pos="7655"/>
      </w:tabs>
      <w:jc w:val="both"/>
    </w:pPr>
    <w:rPr>
      <w:lang w:val="en-GB"/>
    </w:rPr>
  </w:style>
  <w:style w:type="character" w:customStyle="1" w:styleId="CommentTextChar">
    <w:name w:val="Comment Text Char"/>
    <w:link w:val="CommentText"/>
    <w:uiPriority w:val="99"/>
    <w:semiHidden/>
    <w:rsid w:val="00923AC2"/>
    <w:rPr>
      <w:rFonts w:ascii="Arial" w:hAnsi="Arial"/>
      <w:lang w:val="en-GB"/>
    </w:rPr>
  </w:style>
  <w:style w:type="paragraph" w:styleId="CommentSubject">
    <w:name w:val="annotation subject"/>
    <w:basedOn w:val="CommentText"/>
    <w:next w:val="CommentText"/>
    <w:link w:val="CommentSubjectChar"/>
    <w:semiHidden/>
    <w:rsid w:val="009D4CDC"/>
    <w:pPr>
      <w:tabs>
        <w:tab w:val="clear" w:pos="737"/>
        <w:tab w:val="clear" w:pos="1474"/>
        <w:tab w:val="clear" w:pos="2041"/>
        <w:tab w:val="clear" w:pos="5954"/>
        <w:tab w:val="clear" w:pos="7655"/>
      </w:tabs>
      <w:jc w:val="left"/>
    </w:pPr>
    <w:rPr>
      <w:b/>
      <w:bCs/>
    </w:rPr>
  </w:style>
  <w:style w:type="character" w:customStyle="1" w:styleId="CommentSubjectChar">
    <w:name w:val="Comment Subject Char"/>
    <w:link w:val="CommentSubject"/>
    <w:semiHidden/>
    <w:rsid w:val="00923AC2"/>
    <w:rPr>
      <w:rFonts w:ascii="Arial" w:hAnsi="Arial"/>
      <w:b/>
      <w:bCs/>
      <w:lang w:val="en-GB"/>
    </w:rPr>
  </w:style>
  <w:style w:type="paragraph" w:customStyle="1" w:styleId="CharCharCharCharCharCharChar">
    <w:name w:val="Char Char Char Char Char Char Char"/>
    <w:basedOn w:val="Normal"/>
    <w:autoRedefine/>
    <w:rsid w:val="00A72350"/>
    <w:pPr>
      <w:spacing w:after="160"/>
    </w:pPr>
    <w:rPr>
      <w:rFonts w:ascii="Bookman Old Style" w:hAnsi="Bookman Old Style" w:cs="Angsana New"/>
      <w:b/>
      <w:bCs/>
      <w:iCs/>
      <w:sz w:val="32"/>
      <w:lang w:val="en-GB" w:bidi="th-TH"/>
    </w:rPr>
  </w:style>
  <w:style w:type="table" w:styleId="TableGrid">
    <w:name w:val="Table Grid"/>
    <w:basedOn w:val="TableNormal"/>
    <w:rsid w:val="00CC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3AC2"/>
    <w:pPr>
      <w:ind w:left="720"/>
    </w:pPr>
  </w:style>
  <w:style w:type="paragraph" w:styleId="BodyText">
    <w:name w:val="Body Text"/>
    <w:basedOn w:val="Normal"/>
    <w:link w:val="BodyTextChar"/>
    <w:rsid w:val="00923AC2"/>
    <w:pPr>
      <w:jc w:val="both"/>
    </w:pPr>
    <w:rPr>
      <w:sz w:val="22"/>
      <w:lang w:val="en-GB"/>
    </w:rPr>
  </w:style>
  <w:style w:type="character" w:customStyle="1" w:styleId="BodyTextChar">
    <w:name w:val="Body Text Char"/>
    <w:link w:val="BodyText"/>
    <w:rsid w:val="00923AC2"/>
    <w:rPr>
      <w:sz w:val="22"/>
      <w:lang w:val="en-GB"/>
    </w:rPr>
  </w:style>
  <w:style w:type="paragraph" w:styleId="FootnoteText">
    <w:name w:val="footnote text"/>
    <w:basedOn w:val="Normal"/>
    <w:link w:val="FootnoteTextChar"/>
    <w:rsid w:val="00A04EF3"/>
    <w:pPr>
      <w:tabs>
        <w:tab w:val="left" w:pos="720"/>
        <w:tab w:val="left" w:pos="1440"/>
        <w:tab w:val="right" w:pos="9720"/>
      </w:tabs>
      <w:jc w:val="both"/>
    </w:pPr>
    <w:rPr>
      <w:lang w:val="en-GB" w:eastAsia="en-GB"/>
    </w:rPr>
  </w:style>
  <w:style w:type="character" w:customStyle="1" w:styleId="FootnoteTextChar">
    <w:name w:val="Footnote Text Char"/>
    <w:link w:val="FootnoteText"/>
    <w:rsid w:val="00A04EF3"/>
    <w:rPr>
      <w:lang w:val="en-GB" w:eastAsia="en-GB"/>
    </w:rPr>
  </w:style>
  <w:style w:type="paragraph" w:customStyle="1" w:styleId="Intro">
    <w:name w:val="Intro"/>
    <w:basedOn w:val="Normal"/>
    <w:rsid w:val="00A857BE"/>
    <w:pPr>
      <w:spacing w:line="580" w:lineRule="exact"/>
    </w:pPr>
    <w:rPr>
      <w:rFonts w:ascii="Arial Narrow" w:hAnsi="Arial Narrow" w:cs="Arial Narrow"/>
      <w:sz w:val="40"/>
      <w:szCs w:val="40"/>
      <w:lang w:val="en-GB"/>
    </w:rPr>
  </w:style>
  <w:style w:type="paragraph" w:styleId="TOC1">
    <w:name w:val="toc 1"/>
    <w:basedOn w:val="Normal"/>
    <w:next w:val="Normal"/>
    <w:autoRedefine/>
    <w:uiPriority w:val="39"/>
    <w:rsid w:val="003F7F0A"/>
  </w:style>
  <w:style w:type="paragraph" w:styleId="TOC2">
    <w:name w:val="toc 2"/>
    <w:basedOn w:val="Normal"/>
    <w:next w:val="Normal"/>
    <w:autoRedefine/>
    <w:semiHidden/>
    <w:rsid w:val="003F7F0A"/>
    <w:pPr>
      <w:ind w:left="240"/>
    </w:pPr>
  </w:style>
  <w:style w:type="character" w:styleId="Hyperlink">
    <w:name w:val="Hyperlink"/>
    <w:rsid w:val="003F7F0A"/>
    <w:rPr>
      <w:color w:val="0000FF"/>
      <w:u w:val="single"/>
    </w:rPr>
  </w:style>
  <w:style w:type="paragraph" w:customStyle="1" w:styleId="CharCharCharChar">
    <w:name w:val="Char Char Char Char"/>
    <w:basedOn w:val="Normal"/>
    <w:rsid w:val="00A40957"/>
    <w:pPr>
      <w:widowControl w:val="0"/>
      <w:spacing w:line="280" w:lineRule="atLeast"/>
    </w:pPr>
    <w:rPr>
      <w:rFonts w:eastAsia="MS Mincho"/>
      <w:sz w:val="22"/>
      <w:lang w:val="en-GB" w:eastAsia="en-GB"/>
    </w:rPr>
  </w:style>
  <w:style w:type="paragraph" w:styleId="PlainText">
    <w:name w:val="Plain Text"/>
    <w:basedOn w:val="Normal"/>
    <w:rsid w:val="00F62723"/>
    <w:rPr>
      <w:rFonts w:ascii="Courier New" w:hAnsi="Courier New"/>
    </w:rPr>
  </w:style>
  <w:style w:type="paragraph" w:styleId="Revision">
    <w:name w:val="Revision"/>
    <w:hidden/>
    <w:uiPriority w:val="99"/>
    <w:semiHidden/>
    <w:rsid w:val="00BD5435"/>
    <w:rPr>
      <w:sz w:val="24"/>
      <w:szCs w:val="24"/>
    </w:rPr>
  </w:style>
  <w:style w:type="paragraph" w:customStyle="1" w:styleId="Char">
    <w:name w:val="Char"/>
    <w:basedOn w:val="Normal"/>
    <w:rsid w:val="006E4BCE"/>
    <w:pPr>
      <w:spacing w:after="160" w:line="240" w:lineRule="exact"/>
    </w:pPr>
    <w:rPr>
      <w:rFonts w:ascii="Verdana" w:hAnsi="Verdana"/>
      <w:lang w:bidi="hi-IN"/>
    </w:rPr>
  </w:style>
  <w:style w:type="paragraph" w:styleId="TableofFigures">
    <w:name w:val="table of figures"/>
    <w:basedOn w:val="Normal"/>
    <w:next w:val="Normal"/>
    <w:rsid w:val="00323486"/>
  </w:style>
  <w:style w:type="paragraph" w:customStyle="1" w:styleId="NormalGaramond">
    <w:name w:val="Normal + Garamond"/>
    <w:aliases w:val="14 pt,Bold,Underline"/>
    <w:basedOn w:val="Normal"/>
    <w:link w:val="NormalGaramondChar"/>
    <w:rsid w:val="00A100C4"/>
    <w:pPr>
      <w:jc w:val="both"/>
    </w:pPr>
    <w:rPr>
      <w:rFonts w:ascii="Garamond" w:hAnsi="Garamond"/>
      <w:b/>
      <w:sz w:val="28"/>
      <w:szCs w:val="28"/>
    </w:rPr>
  </w:style>
  <w:style w:type="character" w:customStyle="1" w:styleId="NormalGaramondChar">
    <w:name w:val="Normal + Garamond Char"/>
    <w:aliases w:val="14 pt Char,Bold Char,Underline Char"/>
    <w:link w:val="NormalGaramond"/>
    <w:rsid w:val="00A100C4"/>
    <w:rPr>
      <w:rFonts w:ascii="Garamond" w:hAnsi="Garamond" w:cs="Arial"/>
      <w:b/>
      <w:sz w:val="28"/>
      <w:szCs w:val="28"/>
    </w:rPr>
  </w:style>
  <w:style w:type="character" w:styleId="Emphasis">
    <w:name w:val="Emphasis"/>
    <w:uiPriority w:val="20"/>
    <w:qFormat/>
    <w:rsid w:val="0026343A"/>
    <w:rPr>
      <w:i/>
      <w:iCs/>
    </w:rPr>
  </w:style>
  <w:style w:type="character" w:styleId="LineNumber">
    <w:name w:val="line number"/>
    <w:basedOn w:val="DefaultParagraphFont"/>
    <w:rsid w:val="00FB5ECA"/>
  </w:style>
  <w:style w:type="paragraph" w:customStyle="1" w:styleId="NormalSpaced">
    <w:name w:val="NormalSpaced"/>
    <w:basedOn w:val="Normal"/>
    <w:next w:val="Normal"/>
    <w:rsid w:val="00FF7E77"/>
    <w:pPr>
      <w:spacing w:after="240" w:line="300" w:lineRule="atLeast"/>
      <w:jc w:val="both"/>
    </w:pPr>
    <w:rPr>
      <w:rFonts w:ascii="NewsGoth BT" w:hAnsi="NewsGoth BT"/>
      <w:sz w:val="22"/>
      <w:lang w:val="en-GB"/>
    </w:rPr>
  </w:style>
  <w:style w:type="character" w:customStyle="1" w:styleId="apple-converted-space">
    <w:name w:val="apple-converted-space"/>
    <w:basedOn w:val="DefaultParagraphFont"/>
    <w:rsid w:val="00D57CF9"/>
  </w:style>
  <w:style w:type="paragraph" w:styleId="NormalWeb">
    <w:name w:val="Normal (Web)"/>
    <w:basedOn w:val="Normal"/>
    <w:uiPriority w:val="99"/>
    <w:rsid w:val="000848B1"/>
    <w:pPr>
      <w:spacing w:before="100" w:beforeAutospacing="1" w:after="100" w:afterAutospacing="1"/>
    </w:pPr>
    <w:rPr>
      <w:rFonts w:ascii="Arial Unicode MS" w:eastAsia="Arial Unicode MS" w:hAnsi="Arial Unicode MS" w:cs="Arial Unicode MS"/>
    </w:rPr>
  </w:style>
  <w:style w:type="paragraph" w:customStyle="1" w:styleId="Bullet1">
    <w:name w:val="Bullet 1"/>
    <w:basedOn w:val="Normal"/>
    <w:link w:val="Bullet1Char"/>
    <w:qFormat/>
    <w:rsid w:val="00A76890"/>
    <w:pPr>
      <w:tabs>
        <w:tab w:val="num" w:pos="567"/>
      </w:tabs>
      <w:spacing w:before="40" w:line="264" w:lineRule="auto"/>
      <w:ind w:left="567" w:hanging="567"/>
      <w:jc w:val="both"/>
    </w:pPr>
    <w:rPr>
      <w:rFonts w:eastAsia="Franklin Gothic Book" w:cs="Franklin Gothic Book"/>
      <w:lang w:val="en-GB"/>
    </w:rPr>
  </w:style>
  <w:style w:type="character" w:customStyle="1" w:styleId="Bullet1Char">
    <w:name w:val="Bullet 1 Char"/>
    <w:link w:val="Bullet1"/>
    <w:rsid w:val="00A76890"/>
    <w:rPr>
      <w:rFonts w:ascii="Arial" w:eastAsia="Franklin Gothic Book" w:hAnsi="Arial" w:cs="Franklin Gothic Book"/>
      <w:lang w:val="en-GB"/>
    </w:rPr>
  </w:style>
  <w:style w:type="paragraph" w:customStyle="1" w:styleId="Bullet2">
    <w:name w:val="Bullet 2"/>
    <w:basedOn w:val="Normal"/>
    <w:next w:val="Bullet1"/>
    <w:uiPriority w:val="99"/>
    <w:rsid w:val="00A76890"/>
    <w:pPr>
      <w:numPr>
        <w:numId w:val="6"/>
      </w:numPr>
      <w:spacing w:before="30" w:line="264" w:lineRule="auto"/>
      <w:jc w:val="both"/>
    </w:pPr>
    <w:rPr>
      <w:rFonts w:eastAsia="MS Mincho" w:cs="Arial"/>
      <w:lang w:val="en-GB"/>
    </w:rPr>
  </w:style>
  <w:style w:type="paragraph" w:customStyle="1" w:styleId="Bullet3">
    <w:name w:val="Bullet 3"/>
    <w:basedOn w:val="Normal"/>
    <w:rsid w:val="00A76890"/>
    <w:pPr>
      <w:numPr>
        <w:ilvl w:val="2"/>
        <w:numId w:val="7"/>
      </w:numPr>
      <w:spacing w:before="30"/>
      <w:jc w:val="both"/>
    </w:pPr>
    <w:rPr>
      <w:lang w:val="en-GB"/>
    </w:rPr>
  </w:style>
  <w:style w:type="paragraph" w:customStyle="1" w:styleId="Heading1-Part">
    <w:name w:val="Heading 1 - Part"/>
    <w:basedOn w:val="Heading1"/>
    <w:next w:val="Normal"/>
    <w:link w:val="Heading1-PartChar"/>
    <w:rsid w:val="00A76890"/>
    <w:pPr>
      <w:keepLines/>
      <w:spacing w:before="0" w:after="0" w:line="240" w:lineRule="auto"/>
      <w:jc w:val="center"/>
    </w:pPr>
    <w:rPr>
      <w:rFonts w:ascii="Arial Black" w:hAnsi="Arial Black"/>
      <w:bCs w:val="0"/>
      <w:caps/>
      <w:kern w:val="0"/>
      <w:sz w:val="24"/>
      <w:szCs w:val="20"/>
    </w:rPr>
  </w:style>
  <w:style w:type="character" w:customStyle="1" w:styleId="Heading1-PartChar">
    <w:name w:val="Heading 1 - Part Char"/>
    <w:link w:val="Heading1-Part"/>
    <w:locked/>
    <w:rsid w:val="00A76890"/>
    <w:rPr>
      <w:rFonts w:ascii="Arial Black" w:hAnsi="Arial Black" w:cs="Arial"/>
      <w:b/>
      <w:caps/>
      <w:sz w:val="24"/>
      <w:lang w:val="en-GB" w:eastAsia="en-GB"/>
    </w:rPr>
  </w:style>
  <w:style w:type="paragraph" w:customStyle="1" w:styleId="Heading2-Para">
    <w:name w:val="Heading 2 - Para."/>
    <w:basedOn w:val="Normal"/>
    <w:next w:val="Normal"/>
    <w:link w:val="Heading2-ParaChar"/>
    <w:rsid w:val="00B8249C"/>
    <w:pPr>
      <w:keepNext/>
      <w:keepLines/>
      <w:tabs>
        <w:tab w:val="left" w:pos="567"/>
        <w:tab w:val="left" w:pos="1134"/>
        <w:tab w:val="left" w:pos="1701"/>
        <w:tab w:val="left" w:pos="2268"/>
      </w:tabs>
      <w:spacing w:before="240"/>
      <w:jc w:val="both"/>
    </w:pPr>
    <w:rPr>
      <w:b/>
      <w:lang w:val="en-GB" w:eastAsia="en-GB"/>
    </w:rPr>
  </w:style>
  <w:style w:type="character" w:customStyle="1" w:styleId="Heading2-ParaChar">
    <w:name w:val="Heading 2 - Para. Char"/>
    <w:link w:val="Heading2-Para"/>
    <w:locked/>
    <w:rsid w:val="00B8249C"/>
    <w:rPr>
      <w:b/>
      <w:lang w:val="en-GB" w:eastAsia="en-GB"/>
    </w:rPr>
  </w:style>
  <w:style w:type="paragraph" w:customStyle="1" w:styleId="Heading3-Sub-para">
    <w:name w:val="Heading 3 - Sub-para."/>
    <w:basedOn w:val="Heading1-Part"/>
    <w:next w:val="Normal"/>
    <w:link w:val="Heading3-Sub-paraChar"/>
    <w:rsid w:val="00B8249C"/>
    <w:pPr>
      <w:tabs>
        <w:tab w:val="left" w:pos="567"/>
        <w:tab w:val="left" w:pos="1134"/>
        <w:tab w:val="left" w:pos="1701"/>
        <w:tab w:val="left" w:pos="2268"/>
      </w:tabs>
      <w:spacing w:before="120"/>
      <w:jc w:val="left"/>
    </w:pPr>
    <w:rPr>
      <w:rFonts w:ascii="Arial" w:hAnsi="Arial"/>
      <w:i/>
      <w:caps w:val="0"/>
      <w:sz w:val="20"/>
      <w:szCs w:val="28"/>
      <w:lang w:eastAsia="en-US"/>
    </w:rPr>
  </w:style>
  <w:style w:type="character" w:customStyle="1" w:styleId="Heading3-Sub-paraChar">
    <w:name w:val="Heading 3 - Sub-para. Char"/>
    <w:link w:val="Heading3-Sub-para"/>
    <w:locked/>
    <w:rsid w:val="00B8249C"/>
    <w:rPr>
      <w:rFonts w:cs="Arial"/>
      <w:b/>
      <w:i/>
      <w:szCs w:val="28"/>
      <w:lang w:val="en-GB"/>
    </w:rPr>
  </w:style>
  <w:style w:type="paragraph" w:customStyle="1" w:styleId="Heading4-Sub-sub-para">
    <w:name w:val="Heading 4 - Sub-sub-para."/>
    <w:basedOn w:val="Heading3-Sub-para"/>
    <w:next w:val="Normal"/>
    <w:rsid w:val="00A76890"/>
    <w:pPr>
      <w:spacing w:before="60"/>
    </w:pPr>
    <w:rPr>
      <w:b w:val="0"/>
    </w:rPr>
  </w:style>
  <w:style w:type="paragraph" w:customStyle="1" w:styleId="Normal2-Para">
    <w:name w:val="Normal 2 - Para."/>
    <w:basedOn w:val="Normal"/>
    <w:link w:val="Normal2-ParaChar"/>
    <w:rsid w:val="00A76890"/>
    <w:pPr>
      <w:spacing w:before="120" w:line="264" w:lineRule="auto"/>
      <w:jc w:val="both"/>
    </w:pPr>
    <w:rPr>
      <w:lang w:val="en-GB" w:eastAsia="en-GB"/>
    </w:rPr>
  </w:style>
  <w:style w:type="character" w:customStyle="1" w:styleId="Normal2-ParaChar">
    <w:name w:val="Normal 2 - Para. Char"/>
    <w:link w:val="Normal2-Para"/>
    <w:rsid w:val="00A76890"/>
    <w:rPr>
      <w:lang w:val="en-GB" w:eastAsia="en-GB"/>
    </w:rPr>
  </w:style>
  <w:style w:type="paragraph" w:customStyle="1" w:styleId="Normal3-Sub-para">
    <w:name w:val="Normal 3 - Sub-para."/>
    <w:basedOn w:val="Normal"/>
    <w:next w:val="Normal2-Para"/>
    <w:link w:val="Normal3-Sub-paraChar"/>
    <w:rsid w:val="00A76890"/>
    <w:pPr>
      <w:spacing w:before="60" w:line="264" w:lineRule="auto"/>
      <w:jc w:val="both"/>
    </w:pPr>
    <w:rPr>
      <w:rFonts w:cs="Arial"/>
      <w:lang w:val="en-GB" w:eastAsia="en-GB"/>
    </w:rPr>
  </w:style>
  <w:style w:type="character" w:customStyle="1" w:styleId="Normal3-Sub-paraChar">
    <w:name w:val="Normal 3 - Sub-para. Char"/>
    <w:link w:val="Normal3-Sub-para"/>
    <w:locked/>
    <w:rsid w:val="00A76890"/>
    <w:rPr>
      <w:rFonts w:cs="Arial"/>
      <w:lang w:val="en-GB" w:eastAsia="en-GB"/>
    </w:rPr>
  </w:style>
  <w:style w:type="paragraph" w:customStyle="1" w:styleId="Normal4-Sub-sub-para">
    <w:name w:val="Normal 4 - Sub-sub-para."/>
    <w:basedOn w:val="Normal3-Sub-para"/>
    <w:next w:val="Normal3-Sub-para"/>
    <w:link w:val="Normal4-Sub-sub-paraChar"/>
    <w:rsid w:val="00A76890"/>
    <w:pPr>
      <w:spacing w:before="30"/>
      <w:ind w:left="1134"/>
    </w:pPr>
  </w:style>
  <w:style w:type="character" w:customStyle="1" w:styleId="Normal4-Sub-sub-paraChar">
    <w:name w:val="Normal 4 - Sub-sub-para. Char"/>
    <w:basedOn w:val="Normal3-Sub-paraChar"/>
    <w:link w:val="Normal4-Sub-sub-para"/>
    <w:locked/>
    <w:rsid w:val="00A76890"/>
    <w:rPr>
      <w:rFonts w:cs="Arial"/>
      <w:lang w:val="en-GB" w:eastAsia="en-GB"/>
    </w:rPr>
  </w:style>
  <w:style w:type="paragraph" w:customStyle="1" w:styleId="Normal-Table">
    <w:name w:val="Normal - Table"/>
    <w:basedOn w:val="Normal"/>
    <w:qFormat/>
    <w:rsid w:val="00B8249C"/>
    <w:pPr>
      <w:keepNext/>
      <w:keepLines/>
    </w:pPr>
    <w:rPr>
      <w:rFonts w:cs="Arial"/>
      <w:bCs/>
      <w:szCs w:val="18"/>
      <w:lang w:val="en-GB" w:eastAsia="en-GB"/>
    </w:rPr>
  </w:style>
</w:styles>
</file>

<file path=word/webSettings.xml><?xml version="1.0" encoding="utf-8"?>
<w:webSettings xmlns:r="http://schemas.openxmlformats.org/officeDocument/2006/relationships" xmlns:w="http://schemas.openxmlformats.org/wordprocessingml/2006/main">
  <w:divs>
    <w:div w:id="14573591">
      <w:bodyDiv w:val="1"/>
      <w:marLeft w:val="0"/>
      <w:marRight w:val="0"/>
      <w:marTop w:val="0"/>
      <w:marBottom w:val="0"/>
      <w:divBdr>
        <w:top w:val="none" w:sz="0" w:space="0" w:color="auto"/>
        <w:left w:val="none" w:sz="0" w:space="0" w:color="auto"/>
        <w:bottom w:val="none" w:sz="0" w:space="0" w:color="auto"/>
        <w:right w:val="none" w:sz="0" w:space="0" w:color="auto"/>
      </w:divBdr>
    </w:div>
    <w:div w:id="59644400">
      <w:bodyDiv w:val="1"/>
      <w:marLeft w:val="0"/>
      <w:marRight w:val="0"/>
      <w:marTop w:val="0"/>
      <w:marBottom w:val="0"/>
      <w:divBdr>
        <w:top w:val="none" w:sz="0" w:space="0" w:color="auto"/>
        <w:left w:val="none" w:sz="0" w:space="0" w:color="auto"/>
        <w:bottom w:val="none" w:sz="0" w:space="0" w:color="auto"/>
        <w:right w:val="none" w:sz="0" w:space="0" w:color="auto"/>
      </w:divBdr>
    </w:div>
    <w:div w:id="67769416">
      <w:bodyDiv w:val="1"/>
      <w:marLeft w:val="0"/>
      <w:marRight w:val="0"/>
      <w:marTop w:val="0"/>
      <w:marBottom w:val="0"/>
      <w:divBdr>
        <w:top w:val="none" w:sz="0" w:space="0" w:color="auto"/>
        <w:left w:val="none" w:sz="0" w:space="0" w:color="auto"/>
        <w:bottom w:val="none" w:sz="0" w:space="0" w:color="auto"/>
        <w:right w:val="none" w:sz="0" w:space="0" w:color="auto"/>
      </w:divBdr>
    </w:div>
    <w:div w:id="80034078">
      <w:bodyDiv w:val="1"/>
      <w:marLeft w:val="0"/>
      <w:marRight w:val="0"/>
      <w:marTop w:val="0"/>
      <w:marBottom w:val="0"/>
      <w:divBdr>
        <w:top w:val="none" w:sz="0" w:space="0" w:color="auto"/>
        <w:left w:val="none" w:sz="0" w:space="0" w:color="auto"/>
        <w:bottom w:val="none" w:sz="0" w:space="0" w:color="auto"/>
        <w:right w:val="none" w:sz="0" w:space="0" w:color="auto"/>
      </w:divBdr>
    </w:div>
    <w:div w:id="90443438">
      <w:bodyDiv w:val="1"/>
      <w:marLeft w:val="0"/>
      <w:marRight w:val="0"/>
      <w:marTop w:val="0"/>
      <w:marBottom w:val="0"/>
      <w:divBdr>
        <w:top w:val="none" w:sz="0" w:space="0" w:color="auto"/>
        <w:left w:val="none" w:sz="0" w:space="0" w:color="auto"/>
        <w:bottom w:val="none" w:sz="0" w:space="0" w:color="auto"/>
        <w:right w:val="none" w:sz="0" w:space="0" w:color="auto"/>
      </w:divBdr>
    </w:div>
    <w:div w:id="103769485">
      <w:bodyDiv w:val="1"/>
      <w:marLeft w:val="0"/>
      <w:marRight w:val="0"/>
      <w:marTop w:val="0"/>
      <w:marBottom w:val="0"/>
      <w:divBdr>
        <w:top w:val="none" w:sz="0" w:space="0" w:color="auto"/>
        <w:left w:val="none" w:sz="0" w:space="0" w:color="auto"/>
        <w:bottom w:val="none" w:sz="0" w:space="0" w:color="auto"/>
        <w:right w:val="none" w:sz="0" w:space="0" w:color="auto"/>
      </w:divBdr>
    </w:div>
    <w:div w:id="168253169">
      <w:bodyDiv w:val="1"/>
      <w:marLeft w:val="0"/>
      <w:marRight w:val="0"/>
      <w:marTop w:val="0"/>
      <w:marBottom w:val="0"/>
      <w:divBdr>
        <w:top w:val="none" w:sz="0" w:space="0" w:color="auto"/>
        <w:left w:val="none" w:sz="0" w:space="0" w:color="auto"/>
        <w:bottom w:val="none" w:sz="0" w:space="0" w:color="auto"/>
        <w:right w:val="none" w:sz="0" w:space="0" w:color="auto"/>
      </w:divBdr>
    </w:div>
    <w:div w:id="183131098">
      <w:bodyDiv w:val="1"/>
      <w:marLeft w:val="0"/>
      <w:marRight w:val="0"/>
      <w:marTop w:val="0"/>
      <w:marBottom w:val="0"/>
      <w:divBdr>
        <w:top w:val="none" w:sz="0" w:space="0" w:color="auto"/>
        <w:left w:val="none" w:sz="0" w:space="0" w:color="auto"/>
        <w:bottom w:val="none" w:sz="0" w:space="0" w:color="auto"/>
        <w:right w:val="none" w:sz="0" w:space="0" w:color="auto"/>
      </w:divBdr>
    </w:div>
    <w:div w:id="296885230">
      <w:bodyDiv w:val="1"/>
      <w:marLeft w:val="0"/>
      <w:marRight w:val="0"/>
      <w:marTop w:val="0"/>
      <w:marBottom w:val="0"/>
      <w:divBdr>
        <w:top w:val="none" w:sz="0" w:space="0" w:color="auto"/>
        <w:left w:val="none" w:sz="0" w:space="0" w:color="auto"/>
        <w:bottom w:val="none" w:sz="0" w:space="0" w:color="auto"/>
        <w:right w:val="none" w:sz="0" w:space="0" w:color="auto"/>
      </w:divBdr>
    </w:div>
    <w:div w:id="332606616">
      <w:bodyDiv w:val="1"/>
      <w:marLeft w:val="0"/>
      <w:marRight w:val="0"/>
      <w:marTop w:val="0"/>
      <w:marBottom w:val="0"/>
      <w:divBdr>
        <w:top w:val="none" w:sz="0" w:space="0" w:color="auto"/>
        <w:left w:val="none" w:sz="0" w:space="0" w:color="auto"/>
        <w:bottom w:val="none" w:sz="0" w:space="0" w:color="auto"/>
        <w:right w:val="none" w:sz="0" w:space="0" w:color="auto"/>
      </w:divBdr>
    </w:div>
    <w:div w:id="382028247">
      <w:bodyDiv w:val="1"/>
      <w:marLeft w:val="0"/>
      <w:marRight w:val="0"/>
      <w:marTop w:val="0"/>
      <w:marBottom w:val="0"/>
      <w:divBdr>
        <w:top w:val="none" w:sz="0" w:space="0" w:color="auto"/>
        <w:left w:val="none" w:sz="0" w:space="0" w:color="auto"/>
        <w:bottom w:val="none" w:sz="0" w:space="0" w:color="auto"/>
        <w:right w:val="none" w:sz="0" w:space="0" w:color="auto"/>
      </w:divBdr>
    </w:div>
    <w:div w:id="401223987">
      <w:bodyDiv w:val="1"/>
      <w:marLeft w:val="0"/>
      <w:marRight w:val="0"/>
      <w:marTop w:val="0"/>
      <w:marBottom w:val="0"/>
      <w:divBdr>
        <w:top w:val="none" w:sz="0" w:space="0" w:color="auto"/>
        <w:left w:val="none" w:sz="0" w:space="0" w:color="auto"/>
        <w:bottom w:val="none" w:sz="0" w:space="0" w:color="auto"/>
        <w:right w:val="none" w:sz="0" w:space="0" w:color="auto"/>
      </w:divBdr>
    </w:div>
    <w:div w:id="403643910">
      <w:bodyDiv w:val="1"/>
      <w:marLeft w:val="0"/>
      <w:marRight w:val="0"/>
      <w:marTop w:val="0"/>
      <w:marBottom w:val="0"/>
      <w:divBdr>
        <w:top w:val="none" w:sz="0" w:space="0" w:color="auto"/>
        <w:left w:val="none" w:sz="0" w:space="0" w:color="auto"/>
        <w:bottom w:val="none" w:sz="0" w:space="0" w:color="auto"/>
        <w:right w:val="none" w:sz="0" w:space="0" w:color="auto"/>
      </w:divBdr>
    </w:div>
    <w:div w:id="414284841">
      <w:bodyDiv w:val="1"/>
      <w:marLeft w:val="0"/>
      <w:marRight w:val="0"/>
      <w:marTop w:val="0"/>
      <w:marBottom w:val="0"/>
      <w:divBdr>
        <w:top w:val="none" w:sz="0" w:space="0" w:color="auto"/>
        <w:left w:val="none" w:sz="0" w:space="0" w:color="auto"/>
        <w:bottom w:val="none" w:sz="0" w:space="0" w:color="auto"/>
        <w:right w:val="none" w:sz="0" w:space="0" w:color="auto"/>
      </w:divBdr>
    </w:div>
    <w:div w:id="431752678">
      <w:bodyDiv w:val="1"/>
      <w:marLeft w:val="0"/>
      <w:marRight w:val="0"/>
      <w:marTop w:val="0"/>
      <w:marBottom w:val="0"/>
      <w:divBdr>
        <w:top w:val="none" w:sz="0" w:space="0" w:color="auto"/>
        <w:left w:val="none" w:sz="0" w:space="0" w:color="auto"/>
        <w:bottom w:val="none" w:sz="0" w:space="0" w:color="auto"/>
        <w:right w:val="none" w:sz="0" w:space="0" w:color="auto"/>
      </w:divBdr>
    </w:div>
    <w:div w:id="434403849">
      <w:bodyDiv w:val="1"/>
      <w:marLeft w:val="0"/>
      <w:marRight w:val="0"/>
      <w:marTop w:val="0"/>
      <w:marBottom w:val="0"/>
      <w:divBdr>
        <w:top w:val="none" w:sz="0" w:space="0" w:color="auto"/>
        <w:left w:val="none" w:sz="0" w:space="0" w:color="auto"/>
        <w:bottom w:val="none" w:sz="0" w:space="0" w:color="auto"/>
        <w:right w:val="none" w:sz="0" w:space="0" w:color="auto"/>
      </w:divBdr>
    </w:div>
    <w:div w:id="453446025">
      <w:bodyDiv w:val="1"/>
      <w:marLeft w:val="0"/>
      <w:marRight w:val="0"/>
      <w:marTop w:val="0"/>
      <w:marBottom w:val="0"/>
      <w:divBdr>
        <w:top w:val="none" w:sz="0" w:space="0" w:color="auto"/>
        <w:left w:val="none" w:sz="0" w:space="0" w:color="auto"/>
        <w:bottom w:val="none" w:sz="0" w:space="0" w:color="auto"/>
        <w:right w:val="none" w:sz="0" w:space="0" w:color="auto"/>
      </w:divBdr>
    </w:div>
    <w:div w:id="542864074">
      <w:bodyDiv w:val="1"/>
      <w:marLeft w:val="0"/>
      <w:marRight w:val="0"/>
      <w:marTop w:val="0"/>
      <w:marBottom w:val="0"/>
      <w:divBdr>
        <w:top w:val="none" w:sz="0" w:space="0" w:color="auto"/>
        <w:left w:val="none" w:sz="0" w:space="0" w:color="auto"/>
        <w:bottom w:val="none" w:sz="0" w:space="0" w:color="auto"/>
        <w:right w:val="none" w:sz="0" w:space="0" w:color="auto"/>
      </w:divBdr>
    </w:div>
    <w:div w:id="564805798">
      <w:bodyDiv w:val="1"/>
      <w:marLeft w:val="0"/>
      <w:marRight w:val="0"/>
      <w:marTop w:val="0"/>
      <w:marBottom w:val="0"/>
      <w:divBdr>
        <w:top w:val="none" w:sz="0" w:space="0" w:color="auto"/>
        <w:left w:val="none" w:sz="0" w:space="0" w:color="auto"/>
        <w:bottom w:val="none" w:sz="0" w:space="0" w:color="auto"/>
        <w:right w:val="none" w:sz="0" w:space="0" w:color="auto"/>
      </w:divBdr>
    </w:div>
    <w:div w:id="671613532">
      <w:bodyDiv w:val="1"/>
      <w:marLeft w:val="0"/>
      <w:marRight w:val="0"/>
      <w:marTop w:val="0"/>
      <w:marBottom w:val="0"/>
      <w:divBdr>
        <w:top w:val="none" w:sz="0" w:space="0" w:color="auto"/>
        <w:left w:val="none" w:sz="0" w:space="0" w:color="auto"/>
        <w:bottom w:val="none" w:sz="0" w:space="0" w:color="auto"/>
        <w:right w:val="none" w:sz="0" w:space="0" w:color="auto"/>
      </w:divBdr>
    </w:div>
    <w:div w:id="687564158">
      <w:bodyDiv w:val="1"/>
      <w:marLeft w:val="0"/>
      <w:marRight w:val="0"/>
      <w:marTop w:val="0"/>
      <w:marBottom w:val="0"/>
      <w:divBdr>
        <w:top w:val="none" w:sz="0" w:space="0" w:color="auto"/>
        <w:left w:val="none" w:sz="0" w:space="0" w:color="auto"/>
        <w:bottom w:val="none" w:sz="0" w:space="0" w:color="auto"/>
        <w:right w:val="none" w:sz="0" w:space="0" w:color="auto"/>
      </w:divBdr>
    </w:div>
    <w:div w:id="696543135">
      <w:bodyDiv w:val="1"/>
      <w:marLeft w:val="0"/>
      <w:marRight w:val="0"/>
      <w:marTop w:val="0"/>
      <w:marBottom w:val="0"/>
      <w:divBdr>
        <w:top w:val="none" w:sz="0" w:space="0" w:color="auto"/>
        <w:left w:val="none" w:sz="0" w:space="0" w:color="auto"/>
        <w:bottom w:val="none" w:sz="0" w:space="0" w:color="auto"/>
        <w:right w:val="none" w:sz="0" w:space="0" w:color="auto"/>
      </w:divBdr>
    </w:div>
    <w:div w:id="696546110">
      <w:bodyDiv w:val="1"/>
      <w:marLeft w:val="0"/>
      <w:marRight w:val="0"/>
      <w:marTop w:val="0"/>
      <w:marBottom w:val="0"/>
      <w:divBdr>
        <w:top w:val="none" w:sz="0" w:space="0" w:color="auto"/>
        <w:left w:val="none" w:sz="0" w:space="0" w:color="auto"/>
        <w:bottom w:val="none" w:sz="0" w:space="0" w:color="auto"/>
        <w:right w:val="none" w:sz="0" w:space="0" w:color="auto"/>
      </w:divBdr>
    </w:div>
    <w:div w:id="706955810">
      <w:bodyDiv w:val="1"/>
      <w:marLeft w:val="0"/>
      <w:marRight w:val="0"/>
      <w:marTop w:val="0"/>
      <w:marBottom w:val="0"/>
      <w:divBdr>
        <w:top w:val="none" w:sz="0" w:space="0" w:color="auto"/>
        <w:left w:val="none" w:sz="0" w:space="0" w:color="auto"/>
        <w:bottom w:val="none" w:sz="0" w:space="0" w:color="auto"/>
        <w:right w:val="none" w:sz="0" w:space="0" w:color="auto"/>
      </w:divBdr>
    </w:div>
    <w:div w:id="707491015">
      <w:bodyDiv w:val="1"/>
      <w:marLeft w:val="0"/>
      <w:marRight w:val="0"/>
      <w:marTop w:val="0"/>
      <w:marBottom w:val="0"/>
      <w:divBdr>
        <w:top w:val="none" w:sz="0" w:space="0" w:color="auto"/>
        <w:left w:val="none" w:sz="0" w:space="0" w:color="auto"/>
        <w:bottom w:val="none" w:sz="0" w:space="0" w:color="auto"/>
        <w:right w:val="none" w:sz="0" w:space="0" w:color="auto"/>
      </w:divBdr>
    </w:div>
    <w:div w:id="716200657">
      <w:bodyDiv w:val="1"/>
      <w:marLeft w:val="0"/>
      <w:marRight w:val="0"/>
      <w:marTop w:val="0"/>
      <w:marBottom w:val="0"/>
      <w:divBdr>
        <w:top w:val="none" w:sz="0" w:space="0" w:color="auto"/>
        <w:left w:val="none" w:sz="0" w:space="0" w:color="auto"/>
        <w:bottom w:val="none" w:sz="0" w:space="0" w:color="auto"/>
        <w:right w:val="none" w:sz="0" w:space="0" w:color="auto"/>
      </w:divBdr>
    </w:div>
    <w:div w:id="721056297">
      <w:bodyDiv w:val="1"/>
      <w:marLeft w:val="0"/>
      <w:marRight w:val="0"/>
      <w:marTop w:val="0"/>
      <w:marBottom w:val="0"/>
      <w:divBdr>
        <w:top w:val="none" w:sz="0" w:space="0" w:color="auto"/>
        <w:left w:val="none" w:sz="0" w:space="0" w:color="auto"/>
        <w:bottom w:val="none" w:sz="0" w:space="0" w:color="auto"/>
        <w:right w:val="none" w:sz="0" w:space="0" w:color="auto"/>
      </w:divBdr>
    </w:div>
    <w:div w:id="738676879">
      <w:bodyDiv w:val="1"/>
      <w:marLeft w:val="0"/>
      <w:marRight w:val="0"/>
      <w:marTop w:val="0"/>
      <w:marBottom w:val="0"/>
      <w:divBdr>
        <w:top w:val="none" w:sz="0" w:space="0" w:color="auto"/>
        <w:left w:val="none" w:sz="0" w:space="0" w:color="auto"/>
        <w:bottom w:val="none" w:sz="0" w:space="0" w:color="auto"/>
        <w:right w:val="none" w:sz="0" w:space="0" w:color="auto"/>
      </w:divBdr>
    </w:div>
    <w:div w:id="771441808">
      <w:bodyDiv w:val="1"/>
      <w:marLeft w:val="0"/>
      <w:marRight w:val="0"/>
      <w:marTop w:val="0"/>
      <w:marBottom w:val="0"/>
      <w:divBdr>
        <w:top w:val="none" w:sz="0" w:space="0" w:color="auto"/>
        <w:left w:val="none" w:sz="0" w:space="0" w:color="auto"/>
        <w:bottom w:val="none" w:sz="0" w:space="0" w:color="auto"/>
        <w:right w:val="none" w:sz="0" w:space="0" w:color="auto"/>
      </w:divBdr>
    </w:div>
    <w:div w:id="814643639">
      <w:bodyDiv w:val="1"/>
      <w:marLeft w:val="0"/>
      <w:marRight w:val="0"/>
      <w:marTop w:val="0"/>
      <w:marBottom w:val="0"/>
      <w:divBdr>
        <w:top w:val="none" w:sz="0" w:space="0" w:color="auto"/>
        <w:left w:val="none" w:sz="0" w:space="0" w:color="auto"/>
        <w:bottom w:val="none" w:sz="0" w:space="0" w:color="auto"/>
        <w:right w:val="none" w:sz="0" w:space="0" w:color="auto"/>
      </w:divBdr>
    </w:div>
    <w:div w:id="831988604">
      <w:bodyDiv w:val="1"/>
      <w:marLeft w:val="0"/>
      <w:marRight w:val="0"/>
      <w:marTop w:val="0"/>
      <w:marBottom w:val="0"/>
      <w:divBdr>
        <w:top w:val="none" w:sz="0" w:space="0" w:color="auto"/>
        <w:left w:val="none" w:sz="0" w:space="0" w:color="auto"/>
        <w:bottom w:val="none" w:sz="0" w:space="0" w:color="auto"/>
        <w:right w:val="none" w:sz="0" w:space="0" w:color="auto"/>
      </w:divBdr>
    </w:div>
    <w:div w:id="855383239">
      <w:bodyDiv w:val="1"/>
      <w:marLeft w:val="375"/>
      <w:marRight w:val="0"/>
      <w:marTop w:val="375"/>
      <w:marBottom w:val="0"/>
      <w:divBdr>
        <w:top w:val="none" w:sz="0" w:space="0" w:color="auto"/>
        <w:left w:val="none" w:sz="0" w:space="0" w:color="auto"/>
        <w:bottom w:val="none" w:sz="0" w:space="0" w:color="auto"/>
        <w:right w:val="none" w:sz="0" w:space="0" w:color="auto"/>
      </w:divBdr>
    </w:div>
    <w:div w:id="857085873">
      <w:bodyDiv w:val="1"/>
      <w:marLeft w:val="0"/>
      <w:marRight w:val="0"/>
      <w:marTop w:val="0"/>
      <w:marBottom w:val="0"/>
      <w:divBdr>
        <w:top w:val="none" w:sz="0" w:space="0" w:color="auto"/>
        <w:left w:val="none" w:sz="0" w:space="0" w:color="auto"/>
        <w:bottom w:val="none" w:sz="0" w:space="0" w:color="auto"/>
        <w:right w:val="none" w:sz="0" w:space="0" w:color="auto"/>
      </w:divBdr>
    </w:div>
    <w:div w:id="872229240">
      <w:bodyDiv w:val="1"/>
      <w:marLeft w:val="0"/>
      <w:marRight w:val="0"/>
      <w:marTop w:val="0"/>
      <w:marBottom w:val="0"/>
      <w:divBdr>
        <w:top w:val="none" w:sz="0" w:space="0" w:color="auto"/>
        <w:left w:val="none" w:sz="0" w:space="0" w:color="auto"/>
        <w:bottom w:val="none" w:sz="0" w:space="0" w:color="auto"/>
        <w:right w:val="none" w:sz="0" w:space="0" w:color="auto"/>
      </w:divBdr>
    </w:div>
    <w:div w:id="898594582">
      <w:bodyDiv w:val="1"/>
      <w:marLeft w:val="0"/>
      <w:marRight w:val="0"/>
      <w:marTop w:val="0"/>
      <w:marBottom w:val="0"/>
      <w:divBdr>
        <w:top w:val="none" w:sz="0" w:space="0" w:color="auto"/>
        <w:left w:val="none" w:sz="0" w:space="0" w:color="auto"/>
        <w:bottom w:val="none" w:sz="0" w:space="0" w:color="auto"/>
        <w:right w:val="none" w:sz="0" w:space="0" w:color="auto"/>
      </w:divBdr>
    </w:div>
    <w:div w:id="902257017">
      <w:bodyDiv w:val="1"/>
      <w:marLeft w:val="0"/>
      <w:marRight w:val="0"/>
      <w:marTop w:val="0"/>
      <w:marBottom w:val="0"/>
      <w:divBdr>
        <w:top w:val="none" w:sz="0" w:space="0" w:color="auto"/>
        <w:left w:val="none" w:sz="0" w:space="0" w:color="auto"/>
        <w:bottom w:val="none" w:sz="0" w:space="0" w:color="auto"/>
        <w:right w:val="none" w:sz="0" w:space="0" w:color="auto"/>
      </w:divBdr>
    </w:div>
    <w:div w:id="924805991">
      <w:bodyDiv w:val="1"/>
      <w:marLeft w:val="0"/>
      <w:marRight w:val="0"/>
      <w:marTop w:val="0"/>
      <w:marBottom w:val="0"/>
      <w:divBdr>
        <w:top w:val="none" w:sz="0" w:space="0" w:color="auto"/>
        <w:left w:val="none" w:sz="0" w:space="0" w:color="auto"/>
        <w:bottom w:val="none" w:sz="0" w:space="0" w:color="auto"/>
        <w:right w:val="none" w:sz="0" w:space="0" w:color="auto"/>
      </w:divBdr>
      <w:divsChild>
        <w:div w:id="891425821">
          <w:marLeft w:val="0"/>
          <w:marRight w:val="0"/>
          <w:marTop w:val="0"/>
          <w:marBottom w:val="0"/>
          <w:divBdr>
            <w:top w:val="none" w:sz="0" w:space="0" w:color="auto"/>
            <w:left w:val="none" w:sz="0" w:space="0" w:color="auto"/>
            <w:bottom w:val="none" w:sz="0" w:space="0" w:color="auto"/>
            <w:right w:val="none" w:sz="0" w:space="0" w:color="auto"/>
          </w:divBdr>
        </w:div>
      </w:divsChild>
    </w:div>
    <w:div w:id="930158862">
      <w:bodyDiv w:val="1"/>
      <w:marLeft w:val="0"/>
      <w:marRight w:val="0"/>
      <w:marTop w:val="0"/>
      <w:marBottom w:val="0"/>
      <w:divBdr>
        <w:top w:val="none" w:sz="0" w:space="0" w:color="auto"/>
        <w:left w:val="none" w:sz="0" w:space="0" w:color="auto"/>
        <w:bottom w:val="none" w:sz="0" w:space="0" w:color="auto"/>
        <w:right w:val="none" w:sz="0" w:space="0" w:color="auto"/>
      </w:divBdr>
    </w:div>
    <w:div w:id="933591346">
      <w:bodyDiv w:val="1"/>
      <w:marLeft w:val="0"/>
      <w:marRight w:val="0"/>
      <w:marTop w:val="0"/>
      <w:marBottom w:val="0"/>
      <w:divBdr>
        <w:top w:val="none" w:sz="0" w:space="0" w:color="auto"/>
        <w:left w:val="none" w:sz="0" w:space="0" w:color="auto"/>
        <w:bottom w:val="none" w:sz="0" w:space="0" w:color="auto"/>
        <w:right w:val="none" w:sz="0" w:space="0" w:color="auto"/>
      </w:divBdr>
    </w:div>
    <w:div w:id="941491273">
      <w:bodyDiv w:val="1"/>
      <w:marLeft w:val="0"/>
      <w:marRight w:val="0"/>
      <w:marTop w:val="0"/>
      <w:marBottom w:val="0"/>
      <w:divBdr>
        <w:top w:val="none" w:sz="0" w:space="0" w:color="auto"/>
        <w:left w:val="none" w:sz="0" w:space="0" w:color="auto"/>
        <w:bottom w:val="none" w:sz="0" w:space="0" w:color="auto"/>
        <w:right w:val="none" w:sz="0" w:space="0" w:color="auto"/>
      </w:divBdr>
    </w:div>
    <w:div w:id="952172720">
      <w:bodyDiv w:val="1"/>
      <w:marLeft w:val="0"/>
      <w:marRight w:val="0"/>
      <w:marTop w:val="0"/>
      <w:marBottom w:val="0"/>
      <w:divBdr>
        <w:top w:val="none" w:sz="0" w:space="0" w:color="auto"/>
        <w:left w:val="none" w:sz="0" w:space="0" w:color="auto"/>
        <w:bottom w:val="none" w:sz="0" w:space="0" w:color="auto"/>
        <w:right w:val="none" w:sz="0" w:space="0" w:color="auto"/>
      </w:divBdr>
    </w:div>
    <w:div w:id="957683767">
      <w:bodyDiv w:val="1"/>
      <w:marLeft w:val="0"/>
      <w:marRight w:val="0"/>
      <w:marTop w:val="0"/>
      <w:marBottom w:val="0"/>
      <w:divBdr>
        <w:top w:val="none" w:sz="0" w:space="0" w:color="auto"/>
        <w:left w:val="none" w:sz="0" w:space="0" w:color="auto"/>
        <w:bottom w:val="none" w:sz="0" w:space="0" w:color="auto"/>
        <w:right w:val="none" w:sz="0" w:space="0" w:color="auto"/>
      </w:divBdr>
    </w:div>
    <w:div w:id="969868969">
      <w:bodyDiv w:val="1"/>
      <w:marLeft w:val="0"/>
      <w:marRight w:val="0"/>
      <w:marTop w:val="0"/>
      <w:marBottom w:val="0"/>
      <w:divBdr>
        <w:top w:val="none" w:sz="0" w:space="0" w:color="auto"/>
        <w:left w:val="none" w:sz="0" w:space="0" w:color="auto"/>
        <w:bottom w:val="none" w:sz="0" w:space="0" w:color="auto"/>
        <w:right w:val="none" w:sz="0" w:space="0" w:color="auto"/>
      </w:divBdr>
    </w:div>
    <w:div w:id="971179342">
      <w:bodyDiv w:val="1"/>
      <w:marLeft w:val="0"/>
      <w:marRight w:val="0"/>
      <w:marTop w:val="0"/>
      <w:marBottom w:val="0"/>
      <w:divBdr>
        <w:top w:val="none" w:sz="0" w:space="0" w:color="auto"/>
        <w:left w:val="none" w:sz="0" w:space="0" w:color="auto"/>
        <w:bottom w:val="none" w:sz="0" w:space="0" w:color="auto"/>
        <w:right w:val="none" w:sz="0" w:space="0" w:color="auto"/>
      </w:divBdr>
    </w:div>
    <w:div w:id="983125426">
      <w:bodyDiv w:val="1"/>
      <w:marLeft w:val="0"/>
      <w:marRight w:val="0"/>
      <w:marTop w:val="0"/>
      <w:marBottom w:val="0"/>
      <w:divBdr>
        <w:top w:val="none" w:sz="0" w:space="0" w:color="auto"/>
        <w:left w:val="none" w:sz="0" w:space="0" w:color="auto"/>
        <w:bottom w:val="none" w:sz="0" w:space="0" w:color="auto"/>
        <w:right w:val="none" w:sz="0" w:space="0" w:color="auto"/>
      </w:divBdr>
    </w:div>
    <w:div w:id="991250498">
      <w:bodyDiv w:val="1"/>
      <w:marLeft w:val="0"/>
      <w:marRight w:val="0"/>
      <w:marTop w:val="0"/>
      <w:marBottom w:val="0"/>
      <w:divBdr>
        <w:top w:val="none" w:sz="0" w:space="0" w:color="auto"/>
        <w:left w:val="none" w:sz="0" w:space="0" w:color="auto"/>
        <w:bottom w:val="none" w:sz="0" w:space="0" w:color="auto"/>
        <w:right w:val="none" w:sz="0" w:space="0" w:color="auto"/>
      </w:divBdr>
    </w:div>
    <w:div w:id="1026643077">
      <w:bodyDiv w:val="1"/>
      <w:marLeft w:val="0"/>
      <w:marRight w:val="0"/>
      <w:marTop w:val="0"/>
      <w:marBottom w:val="0"/>
      <w:divBdr>
        <w:top w:val="none" w:sz="0" w:space="0" w:color="auto"/>
        <w:left w:val="none" w:sz="0" w:space="0" w:color="auto"/>
        <w:bottom w:val="none" w:sz="0" w:space="0" w:color="auto"/>
        <w:right w:val="none" w:sz="0" w:space="0" w:color="auto"/>
      </w:divBdr>
    </w:div>
    <w:div w:id="1034620086">
      <w:bodyDiv w:val="1"/>
      <w:marLeft w:val="0"/>
      <w:marRight w:val="0"/>
      <w:marTop w:val="0"/>
      <w:marBottom w:val="0"/>
      <w:divBdr>
        <w:top w:val="none" w:sz="0" w:space="0" w:color="auto"/>
        <w:left w:val="none" w:sz="0" w:space="0" w:color="auto"/>
        <w:bottom w:val="none" w:sz="0" w:space="0" w:color="auto"/>
        <w:right w:val="none" w:sz="0" w:space="0" w:color="auto"/>
      </w:divBdr>
    </w:div>
    <w:div w:id="1063914891">
      <w:bodyDiv w:val="1"/>
      <w:marLeft w:val="0"/>
      <w:marRight w:val="0"/>
      <w:marTop w:val="0"/>
      <w:marBottom w:val="0"/>
      <w:divBdr>
        <w:top w:val="none" w:sz="0" w:space="0" w:color="auto"/>
        <w:left w:val="none" w:sz="0" w:space="0" w:color="auto"/>
        <w:bottom w:val="none" w:sz="0" w:space="0" w:color="auto"/>
        <w:right w:val="none" w:sz="0" w:space="0" w:color="auto"/>
      </w:divBdr>
    </w:div>
    <w:div w:id="1100680372">
      <w:bodyDiv w:val="1"/>
      <w:marLeft w:val="0"/>
      <w:marRight w:val="0"/>
      <w:marTop w:val="0"/>
      <w:marBottom w:val="0"/>
      <w:divBdr>
        <w:top w:val="none" w:sz="0" w:space="0" w:color="auto"/>
        <w:left w:val="none" w:sz="0" w:space="0" w:color="auto"/>
        <w:bottom w:val="none" w:sz="0" w:space="0" w:color="auto"/>
        <w:right w:val="none" w:sz="0" w:space="0" w:color="auto"/>
      </w:divBdr>
    </w:div>
    <w:div w:id="1104420829">
      <w:bodyDiv w:val="1"/>
      <w:marLeft w:val="0"/>
      <w:marRight w:val="0"/>
      <w:marTop w:val="0"/>
      <w:marBottom w:val="0"/>
      <w:divBdr>
        <w:top w:val="none" w:sz="0" w:space="0" w:color="auto"/>
        <w:left w:val="none" w:sz="0" w:space="0" w:color="auto"/>
        <w:bottom w:val="none" w:sz="0" w:space="0" w:color="auto"/>
        <w:right w:val="none" w:sz="0" w:space="0" w:color="auto"/>
      </w:divBdr>
    </w:div>
    <w:div w:id="1114859226">
      <w:bodyDiv w:val="1"/>
      <w:marLeft w:val="0"/>
      <w:marRight w:val="0"/>
      <w:marTop w:val="0"/>
      <w:marBottom w:val="0"/>
      <w:divBdr>
        <w:top w:val="none" w:sz="0" w:space="0" w:color="auto"/>
        <w:left w:val="none" w:sz="0" w:space="0" w:color="auto"/>
        <w:bottom w:val="none" w:sz="0" w:space="0" w:color="auto"/>
        <w:right w:val="none" w:sz="0" w:space="0" w:color="auto"/>
      </w:divBdr>
    </w:div>
    <w:div w:id="1142040654">
      <w:bodyDiv w:val="1"/>
      <w:marLeft w:val="0"/>
      <w:marRight w:val="0"/>
      <w:marTop w:val="0"/>
      <w:marBottom w:val="0"/>
      <w:divBdr>
        <w:top w:val="none" w:sz="0" w:space="0" w:color="auto"/>
        <w:left w:val="none" w:sz="0" w:space="0" w:color="auto"/>
        <w:bottom w:val="none" w:sz="0" w:space="0" w:color="auto"/>
        <w:right w:val="none" w:sz="0" w:space="0" w:color="auto"/>
      </w:divBdr>
    </w:div>
    <w:div w:id="1143306288">
      <w:bodyDiv w:val="1"/>
      <w:marLeft w:val="0"/>
      <w:marRight w:val="0"/>
      <w:marTop w:val="0"/>
      <w:marBottom w:val="0"/>
      <w:divBdr>
        <w:top w:val="none" w:sz="0" w:space="0" w:color="auto"/>
        <w:left w:val="none" w:sz="0" w:space="0" w:color="auto"/>
        <w:bottom w:val="none" w:sz="0" w:space="0" w:color="auto"/>
        <w:right w:val="none" w:sz="0" w:space="0" w:color="auto"/>
      </w:divBdr>
    </w:div>
    <w:div w:id="1143815364">
      <w:bodyDiv w:val="1"/>
      <w:marLeft w:val="0"/>
      <w:marRight w:val="0"/>
      <w:marTop w:val="0"/>
      <w:marBottom w:val="0"/>
      <w:divBdr>
        <w:top w:val="none" w:sz="0" w:space="0" w:color="auto"/>
        <w:left w:val="none" w:sz="0" w:space="0" w:color="auto"/>
        <w:bottom w:val="none" w:sz="0" w:space="0" w:color="auto"/>
        <w:right w:val="none" w:sz="0" w:space="0" w:color="auto"/>
      </w:divBdr>
    </w:div>
    <w:div w:id="1151554201">
      <w:bodyDiv w:val="1"/>
      <w:marLeft w:val="0"/>
      <w:marRight w:val="0"/>
      <w:marTop w:val="0"/>
      <w:marBottom w:val="0"/>
      <w:divBdr>
        <w:top w:val="none" w:sz="0" w:space="0" w:color="auto"/>
        <w:left w:val="none" w:sz="0" w:space="0" w:color="auto"/>
        <w:bottom w:val="none" w:sz="0" w:space="0" w:color="auto"/>
        <w:right w:val="none" w:sz="0" w:space="0" w:color="auto"/>
      </w:divBdr>
      <w:divsChild>
        <w:div w:id="1535117755">
          <w:marLeft w:val="0"/>
          <w:marRight w:val="0"/>
          <w:marTop w:val="0"/>
          <w:marBottom w:val="0"/>
          <w:divBdr>
            <w:top w:val="none" w:sz="0" w:space="0" w:color="auto"/>
            <w:left w:val="none" w:sz="0" w:space="0" w:color="auto"/>
            <w:bottom w:val="none" w:sz="0" w:space="0" w:color="auto"/>
            <w:right w:val="none" w:sz="0" w:space="0" w:color="auto"/>
          </w:divBdr>
        </w:div>
      </w:divsChild>
    </w:div>
    <w:div w:id="1161777306">
      <w:bodyDiv w:val="1"/>
      <w:marLeft w:val="0"/>
      <w:marRight w:val="0"/>
      <w:marTop w:val="0"/>
      <w:marBottom w:val="0"/>
      <w:divBdr>
        <w:top w:val="none" w:sz="0" w:space="0" w:color="auto"/>
        <w:left w:val="none" w:sz="0" w:space="0" w:color="auto"/>
        <w:bottom w:val="none" w:sz="0" w:space="0" w:color="auto"/>
        <w:right w:val="none" w:sz="0" w:space="0" w:color="auto"/>
      </w:divBdr>
    </w:div>
    <w:div w:id="1166283369">
      <w:bodyDiv w:val="1"/>
      <w:marLeft w:val="0"/>
      <w:marRight w:val="0"/>
      <w:marTop w:val="0"/>
      <w:marBottom w:val="0"/>
      <w:divBdr>
        <w:top w:val="none" w:sz="0" w:space="0" w:color="auto"/>
        <w:left w:val="none" w:sz="0" w:space="0" w:color="auto"/>
        <w:bottom w:val="none" w:sz="0" w:space="0" w:color="auto"/>
        <w:right w:val="none" w:sz="0" w:space="0" w:color="auto"/>
      </w:divBdr>
    </w:div>
    <w:div w:id="1189760724">
      <w:bodyDiv w:val="1"/>
      <w:marLeft w:val="0"/>
      <w:marRight w:val="0"/>
      <w:marTop w:val="0"/>
      <w:marBottom w:val="0"/>
      <w:divBdr>
        <w:top w:val="none" w:sz="0" w:space="0" w:color="auto"/>
        <w:left w:val="none" w:sz="0" w:space="0" w:color="auto"/>
        <w:bottom w:val="none" w:sz="0" w:space="0" w:color="auto"/>
        <w:right w:val="none" w:sz="0" w:space="0" w:color="auto"/>
      </w:divBdr>
    </w:div>
    <w:div w:id="1194462315">
      <w:bodyDiv w:val="1"/>
      <w:marLeft w:val="0"/>
      <w:marRight w:val="0"/>
      <w:marTop w:val="0"/>
      <w:marBottom w:val="0"/>
      <w:divBdr>
        <w:top w:val="none" w:sz="0" w:space="0" w:color="auto"/>
        <w:left w:val="none" w:sz="0" w:space="0" w:color="auto"/>
        <w:bottom w:val="none" w:sz="0" w:space="0" w:color="auto"/>
        <w:right w:val="none" w:sz="0" w:space="0" w:color="auto"/>
      </w:divBdr>
    </w:div>
    <w:div w:id="1257329600">
      <w:bodyDiv w:val="1"/>
      <w:marLeft w:val="0"/>
      <w:marRight w:val="0"/>
      <w:marTop w:val="0"/>
      <w:marBottom w:val="0"/>
      <w:divBdr>
        <w:top w:val="none" w:sz="0" w:space="0" w:color="auto"/>
        <w:left w:val="none" w:sz="0" w:space="0" w:color="auto"/>
        <w:bottom w:val="none" w:sz="0" w:space="0" w:color="auto"/>
        <w:right w:val="none" w:sz="0" w:space="0" w:color="auto"/>
      </w:divBdr>
    </w:div>
    <w:div w:id="1266621756">
      <w:bodyDiv w:val="1"/>
      <w:marLeft w:val="0"/>
      <w:marRight w:val="0"/>
      <w:marTop w:val="0"/>
      <w:marBottom w:val="0"/>
      <w:divBdr>
        <w:top w:val="none" w:sz="0" w:space="0" w:color="auto"/>
        <w:left w:val="none" w:sz="0" w:space="0" w:color="auto"/>
        <w:bottom w:val="none" w:sz="0" w:space="0" w:color="auto"/>
        <w:right w:val="none" w:sz="0" w:space="0" w:color="auto"/>
      </w:divBdr>
    </w:div>
    <w:div w:id="1275019472">
      <w:bodyDiv w:val="1"/>
      <w:marLeft w:val="0"/>
      <w:marRight w:val="0"/>
      <w:marTop w:val="0"/>
      <w:marBottom w:val="0"/>
      <w:divBdr>
        <w:top w:val="none" w:sz="0" w:space="0" w:color="auto"/>
        <w:left w:val="none" w:sz="0" w:space="0" w:color="auto"/>
        <w:bottom w:val="none" w:sz="0" w:space="0" w:color="auto"/>
        <w:right w:val="none" w:sz="0" w:space="0" w:color="auto"/>
      </w:divBdr>
    </w:div>
    <w:div w:id="1281765192">
      <w:bodyDiv w:val="1"/>
      <w:marLeft w:val="0"/>
      <w:marRight w:val="0"/>
      <w:marTop w:val="0"/>
      <w:marBottom w:val="0"/>
      <w:divBdr>
        <w:top w:val="none" w:sz="0" w:space="0" w:color="auto"/>
        <w:left w:val="none" w:sz="0" w:space="0" w:color="auto"/>
        <w:bottom w:val="none" w:sz="0" w:space="0" w:color="auto"/>
        <w:right w:val="none" w:sz="0" w:space="0" w:color="auto"/>
      </w:divBdr>
    </w:div>
    <w:div w:id="1288271913">
      <w:bodyDiv w:val="1"/>
      <w:marLeft w:val="0"/>
      <w:marRight w:val="0"/>
      <w:marTop w:val="0"/>
      <w:marBottom w:val="0"/>
      <w:divBdr>
        <w:top w:val="none" w:sz="0" w:space="0" w:color="auto"/>
        <w:left w:val="none" w:sz="0" w:space="0" w:color="auto"/>
        <w:bottom w:val="none" w:sz="0" w:space="0" w:color="auto"/>
        <w:right w:val="none" w:sz="0" w:space="0" w:color="auto"/>
      </w:divBdr>
    </w:div>
    <w:div w:id="1326208859">
      <w:bodyDiv w:val="1"/>
      <w:marLeft w:val="0"/>
      <w:marRight w:val="0"/>
      <w:marTop w:val="0"/>
      <w:marBottom w:val="0"/>
      <w:divBdr>
        <w:top w:val="none" w:sz="0" w:space="0" w:color="auto"/>
        <w:left w:val="none" w:sz="0" w:space="0" w:color="auto"/>
        <w:bottom w:val="none" w:sz="0" w:space="0" w:color="auto"/>
        <w:right w:val="none" w:sz="0" w:space="0" w:color="auto"/>
      </w:divBdr>
    </w:div>
    <w:div w:id="1335303619">
      <w:bodyDiv w:val="1"/>
      <w:marLeft w:val="0"/>
      <w:marRight w:val="0"/>
      <w:marTop w:val="0"/>
      <w:marBottom w:val="0"/>
      <w:divBdr>
        <w:top w:val="none" w:sz="0" w:space="0" w:color="auto"/>
        <w:left w:val="none" w:sz="0" w:space="0" w:color="auto"/>
        <w:bottom w:val="none" w:sz="0" w:space="0" w:color="auto"/>
        <w:right w:val="none" w:sz="0" w:space="0" w:color="auto"/>
      </w:divBdr>
    </w:div>
    <w:div w:id="1336038017">
      <w:bodyDiv w:val="1"/>
      <w:marLeft w:val="0"/>
      <w:marRight w:val="0"/>
      <w:marTop w:val="0"/>
      <w:marBottom w:val="0"/>
      <w:divBdr>
        <w:top w:val="none" w:sz="0" w:space="0" w:color="auto"/>
        <w:left w:val="none" w:sz="0" w:space="0" w:color="auto"/>
        <w:bottom w:val="none" w:sz="0" w:space="0" w:color="auto"/>
        <w:right w:val="none" w:sz="0" w:space="0" w:color="auto"/>
      </w:divBdr>
    </w:div>
    <w:div w:id="1348143571">
      <w:bodyDiv w:val="1"/>
      <w:marLeft w:val="0"/>
      <w:marRight w:val="0"/>
      <w:marTop w:val="0"/>
      <w:marBottom w:val="0"/>
      <w:divBdr>
        <w:top w:val="none" w:sz="0" w:space="0" w:color="auto"/>
        <w:left w:val="none" w:sz="0" w:space="0" w:color="auto"/>
        <w:bottom w:val="none" w:sz="0" w:space="0" w:color="auto"/>
        <w:right w:val="none" w:sz="0" w:space="0" w:color="auto"/>
      </w:divBdr>
    </w:div>
    <w:div w:id="1383407809">
      <w:bodyDiv w:val="1"/>
      <w:marLeft w:val="0"/>
      <w:marRight w:val="0"/>
      <w:marTop w:val="0"/>
      <w:marBottom w:val="0"/>
      <w:divBdr>
        <w:top w:val="none" w:sz="0" w:space="0" w:color="auto"/>
        <w:left w:val="none" w:sz="0" w:space="0" w:color="auto"/>
        <w:bottom w:val="none" w:sz="0" w:space="0" w:color="auto"/>
        <w:right w:val="none" w:sz="0" w:space="0" w:color="auto"/>
      </w:divBdr>
    </w:div>
    <w:div w:id="1402481266">
      <w:bodyDiv w:val="1"/>
      <w:marLeft w:val="0"/>
      <w:marRight w:val="0"/>
      <w:marTop w:val="0"/>
      <w:marBottom w:val="0"/>
      <w:divBdr>
        <w:top w:val="none" w:sz="0" w:space="0" w:color="auto"/>
        <w:left w:val="none" w:sz="0" w:space="0" w:color="auto"/>
        <w:bottom w:val="none" w:sz="0" w:space="0" w:color="auto"/>
        <w:right w:val="none" w:sz="0" w:space="0" w:color="auto"/>
      </w:divBdr>
    </w:div>
    <w:div w:id="1421487809">
      <w:bodyDiv w:val="1"/>
      <w:marLeft w:val="0"/>
      <w:marRight w:val="0"/>
      <w:marTop w:val="0"/>
      <w:marBottom w:val="0"/>
      <w:divBdr>
        <w:top w:val="none" w:sz="0" w:space="0" w:color="auto"/>
        <w:left w:val="none" w:sz="0" w:space="0" w:color="auto"/>
        <w:bottom w:val="none" w:sz="0" w:space="0" w:color="auto"/>
        <w:right w:val="none" w:sz="0" w:space="0" w:color="auto"/>
      </w:divBdr>
    </w:div>
    <w:div w:id="1443651106">
      <w:bodyDiv w:val="1"/>
      <w:marLeft w:val="0"/>
      <w:marRight w:val="0"/>
      <w:marTop w:val="0"/>
      <w:marBottom w:val="0"/>
      <w:divBdr>
        <w:top w:val="none" w:sz="0" w:space="0" w:color="auto"/>
        <w:left w:val="none" w:sz="0" w:space="0" w:color="auto"/>
        <w:bottom w:val="none" w:sz="0" w:space="0" w:color="auto"/>
        <w:right w:val="none" w:sz="0" w:space="0" w:color="auto"/>
      </w:divBdr>
    </w:div>
    <w:div w:id="1453477013">
      <w:bodyDiv w:val="1"/>
      <w:marLeft w:val="0"/>
      <w:marRight w:val="0"/>
      <w:marTop w:val="0"/>
      <w:marBottom w:val="0"/>
      <w:divBdr>
        <w:top w:val="none" w:sz="0" w:space="0" w:color="auto"/>
        <w:left w:val="none" w:sz="0" w:space="0" w:color="auto"/>
        <w:bottom w:val="none" w:sz="0" w:space="0" w:color="auto"/>
        <w:right w:val="none" w:sz="0" w:space="0" w:color="auto"/>
      </w:divBdr>
    </w:div>
    <w:div w:id="1526669572">
      <w:bodyDiv w:val="1"/>
      <w:marLeft w:val="0"/>
      <w:marRight w:val="0"/>
      <w:marTop w:val="0"/>
      <w:marBottom w:val="0"/>
      <w:divBdr>
        <w:top w:val="none" w:sz="0" w:space="0" w:color="auto"/>
        <w:left w:val="none" w:sz="0" w:space="0" w:color="auto"/>
        <w:bottom w:val="none" w:sz="0" w:space="0" w:color="auto"/>
        <w:right w:val="none" w:sz="0" w:space="0" w:color="auto"/>
      </w:divBdr>
    </w:div>
    <w:div w:id="1564487601">
      <w:bodyDiv w:val="1"/>
      <w:marLeft w:val="0"/>
      <w:marRight w:val="0"/>
      <w:marTop w:val="0"/>
      <w:marBottom w:val="0"/>
      <w:divBdr>
        <w:top w:val="none" w:sz="0" w:space="0" w:color="auto"/>
        <w:left w:val="none" w:sz="0" w:space="0" w:color="auto"/>
        <w:bottom w:val="none" w:sz="0" w:space="0" w:color="auto"/>
        <w:right w:val="none" w:sz="0" w:space="0" w:color="auto"/>
      </w:divBdr>
    </w:div>
    <w:div w:id="1568346043">
      <w:bodyDiv w:val="1"/>
      <w:marLeft w:val="0"/>
      <w:marRight w:val="0"/>
      <w:marTop w:val="0"/>
      <w:marBottom w:val="0"/>
      <w:divBdr>
        <w:top w:val="none" w:sz="0" w:space="0" w:color="auto"/>
        <w:left w:val="none" w:sz="0" w:space="0" w:color="auto"/>
        <w:bottom w:val="none" w:sz="0" w:space="0" w:color="auto"/>
        <w:right w:val="none" w:sz="0" w:space="0" w:color="auto"/>
      </w:divBdr>
    </w:div>
    <w:div w:id="1572538454">
      <w:bodyDiv w:val="1"/>
      <w:marLeft w:val="0"/>
      <w:marRight w:val="0"/>
      <w:marTop w:val="0"/>
      <w:marBottom w:val="0"/>
      <w:divBdr>
        <w:top w:val="none" w:sz="0" w:space="0" w:color="auto"/>
        <w:left w:val="none" w:sz="0" w:space="0" w:color="auto"/>
        <w:bottom w:val="none" w:sz="0" w:space="0" w:color="auto"/>
        <w:right w:val="none" w:sz="0" w:space="0" w:color="auto"/>
      </w:divBdr>
    </w:div>
    <w:div w:id="1572883651">
      <w:bodyDiv w:val="1"/>
      <w:marLeft w:val="0"/>
      <w:marRight w:val="0"/>
      <w:marTop w:val="0"/>
      <w:marBottom w:val="0"/>
      <w:divBdr>
        <w:top w:val="none" w:sz="0" w:space="0" w:color="auto"/>
        <w:left w:val="none" w:sz="0" w:space="0" w:color="auto"/>
        <w:bottom w:val="none" w:sz="0" w:space="0" w:color="auto"/>
        <w:right w:val="none" w:sz="0" w:space="0" w:color="auto"/>
      </w:divBdr>
    </w:div>
    <w:div w:id="1623533741">
      <w:bodyDiv w:val="1"/>
      <w:marLeft w:val="0"/>
      <w:marRight w:val="0"/>
      <w:marTop w:val="0"/>
      <w:marBottom w:val="0"/>
      <w:divBdr>
        <w:top w:val="none" w:sz="0" w:space="0" w:color="auto"/>
        <w:left w:val="none" w:sz="0" w:space="0" w:color="auto"/>
        <w:bottom w:val="none" w:sz="0" w:space="0" w:color="auto"/>
        <w:right w:val="none" w:sz="0" w:space="0" w:color="auto"/>
      </w:divBdr>
    </w:div>
    <w:div w:id="1631593449">
      <w:bodyDiv w:val="1"/>
      <w:marLeft w:val="0"/>
      <w:marRight w:val="0"/>
      <w:marTop w:val="0"/>
      <w:marBottom w:val="0"/>
      <w:divBdr>
        <w:top w:val="none" w:sz="0" w:space="0" w:color="auto"/>
        <w:left w:val="none" w:sz="0" w:space="0" w:color="auto"/>
        <w:bottom w:val="none" w:sz="0" w:space="0" w:color="auto"/>
        <w:right w:val="none" w:sz="0" w:space="0" w:color="auto"/>
      </w:divBdr>
    </w:div>
    <w:div w:id="1637953720">
      <w:bodyDiv w:val="1"/>
      <w:marLeft w:val="0"/>
      <w:marRight w:val="0"/>
      <w:marTop w:val="0"/>
      <w:marBottom w:val="0"/>
      <w:divBdr>
        <w:top w:val="none" w:sz="0" w:space="0" w:color="auto"/>
        <w:left w:val="none" w:sz="0" w:space="0" w:color="auto"/>
        <w:bottom w:val="none" w:sz="0" w:space="0" w:color="auto"/>
        <w:right w:val="none" w:sz="0" w:space="0" w:color="auto"/>
      </w:divBdr>
    </w:div>
    <w:div w:id="1652057197">
      <w:bodyDiv w:val="1"/>
      <w:marLeft w:val="0"/>
      <w:marRight w:val="0"/>
      <w:marTop w:val="0"/>
      <w:marBottom w:val="0"/>
      <w:divBdr>
        <w:top w:val="none" w:sz="0" w:space="0" w:color="auto"/>
        <w:left w:val="none" w:sz="0" w:space="0" w:color="auto"/>
        <w:bottom w:val="none" w:sz="0" w:space="0" w:color="auto"/>
        <w:right w:val="none" w:sz="0" w:space="0" w:color="auto"/>
      </w:divBdr>
    </w:div>
    <w:div w:id="1652716355">
      <w:bodyDiv w:val="1"/>
      <w:marLeft w:val="0"/>
      <w:marRight w:val="0"/>
      <w:marTop w:val="0"/>
      <w:marBottom w:val="0"/>
      <w:divBdr>
        <w:top w:val="none" w:sz="0" w:space="0" w:color="auto"/>
        <w:left w:val="none" w:sz="0" w:space="0" w:color="auto"/>
        <w:bottom w:val="none" w:sz="0" w:space="0" w:color="auto"/>
        <w:right w:val="none" w:sz="0" w:space="0" w:color="auto"/>
      </w:divBdr>
    </w:div>
    <w:div w:id="1659990526">
      <w:bodyDiv w:val="1"/>
      <w:marLeft w:val="0"/>
      <w:marRight w:val="0"/>
      <w:marTop w:val="0"/>
      <w:marBottom w:val="0"/>
      <w:divBdr>
        <w:top w:val="none" w:sz="0" w:space="0" w:color="auto"/>
        <w:left w:val="none" w:sz="0" w:space="0" w:color="auto"/>
        <w:bottom w:val="none" w:sz="0" w:space="0" w:color="auto"/>
        <w:right w:val="none" w:sz="0" w:space="0" w:color="auto"/>
      </w:divBdr>
    </w:div>
    <w:div w:id="1685591543">
      <w:bodyDiv w:val="1"/>
      <w:marLeft w:val="0"/>
      <w:marRight w:val="0"/>
      <w:marTop w:val="0"/>
      <w:marBottom w:val="0"/>
      <w:divBdr>
        <w:top w:val="none" w:sz="0" w:space="0" w:color="auto"/>
        <w:left w:val="none" w:sz="0" w:space="0" w:color="auto"/>
        <w:bottom w:val="none" w:sz="0" w:space="0" w:color="auto"/>
        <w:right w:val="none" w:sz="0" w:space="0" w:color="auto"/>
      </w:divBdr>
    </w:div>
    <w:div w:id="1687251330">
      <w:bodyDiv w:val="1"/>
      <w:marLeft w:val="0"/>
      <w:marRight w:val="0"/>
      <w:marTop w:val="0"/>
      <w:marBottom w:val="0"/>
      <w:divBdr>
        <w:top w:val="none" w:sz="0" w:space="0" w:color="auto"/>
        <w:left w:val="none" w:sz="0" w:space="0" w:color="auto"/>
        <w:bottom w:val="none" w:sz="0" w:space="0" w:color="auto"/>
        <w:right w:val="none" w:sz="0" w:space="0" w:color="auto"/>
      </w:divBdr>
    </w:div>
    <w:div w:id="1742219663">
      <w:bodyDiv w:val="1"/>
      <w:marLeft w:val="0"/>
      <w:marRight w:val="0"/>
      <w:marTop w:val="0"/>
      <w:marBottom w:val="0"/>
      <w:divBdr>
        <w:top w:val="none" w:sz="0" w:space="0" w:color="auto"/>
        <w:left w:val="none" w:sz="0" w:space="0" w:color="auto"/>
        <w:bottom w:val="none" w:sz="0" w:space="0" w:color="auto"/>
        <w:right w:val="none" w:sz="0" w:space="0" w:color="auto"/>
      </w:divBdr>
    </w:div>
    <w:div w:id="1818764248">
      <w:bodyDiv w:val="1"/>
      <w:marLeft w:val="0"/>
      <w:marRight w:val="0"/>
      <w:marTop w:val="0"/>
      <w:marBottom w:val="0"/>
      <w:divBdr>
        <w:top w:val="none" w:sz="0" w:space="0" w:color="auto"/>
        <w:left w:val="none" w:sz="0" w:space="0" w:color="auto"/>
        <w:bottom w:val="none" w:sz="0" w:space="0" w:color="auto"/>
        <w:right w:val="none" w:sz="0" w:space="0" w:color="auto"/>
      </w:divBdr>
    </w:div>
    <w:div w:id="1830173892">
      <w:bodyDiv w:val="1"/>
      <w:marLeft w:val="0"/>
      <w:marRight w:val="0"/>
      <w:marTop w:val="0"/>
      <w:marBottom w:val="0"/>
      <w:divBdr>
        <w:top w:val="none" w:sz="0" w:space="0" w:color="auto"/>
        <w:left w:val="none" w:sz="0" w:space="0" w:color="auto"/>
        <w:bottom w:val="none" w:sz="0" w:space="0" w:color="auto"/>
        <w:right w:val="none" w:sz="0" w:space="0" w:color="auto"/>
      </w:divBdr>
    </w:div>
    <w:div w:id="1866821629">
      <w:bodyDiv w:val="1"/>
      <w:marLeft w:val="0"/>
      <w:marRight w:val="0"/>
      <w:marTop w:val="0"/>
      <w:marBottom w:val="0"/>
      <w:divBdr>
        <w:top w:val="none" w:sz="0" w:space="0" w:color="auto"/>
        <w:left w:val="none" w:sz="0" w:space="0" w:color="auto"/>
        <w:bottom w:val="none" w:sz="0" w:space="0" w:color="auto"/>
        <w:right w:val="none" w:sz="0" w:space="0" w:color="auto"/>
      </w:divBdr>
    </w:div>
    <w:div w:id="1994332469">
      <w:bodyDiv w:val="1"/>
      <w:marLeft w:val="0"/>
      <w:marRight w:val="0"/>
      <w:marTop w:val="0"/>
      <w:marBottom w:val="0"/>
      <w:divBdr>
        <w:top w:val="none" w:sz="0" w:space="0" w:color="auto"/>
        <w:left w:val="none" w:sz="0" w:space="0" w:color="auto"/>
        <w:bottom w:val="none" w:sz="0" w:space="0" w:color="auto"/>
        <w:right w:val="none" w:sz="0" w:space="0" w:color="auto"/>
      </w:divBdr>
    </w:div>
    <w:div w:id="2023438258">
      <w:bodyDiv w:val="1"/>
      <w:marLeft w:val="0"/>
      <w:marRight w:val="0"/>
      <w:marTop w:val="0"/>
      <w:marBottom w:val="0"/>
      <w:divBdr>
        <w:top w:val="none" w:sz="0" w:space="0" w:color="auto"/>
        <w:left w:val="none" w:sz="0" w:space="0" w:color="auto"/>
        <w:bottom w:val="none" w:sz="0" w:space="0" w:color="auto"/>
        <w:right w:val="none" w:sz="0" w:space="0" w:color="auto"/>
      </w:divBdr>
    </w:div>
    <w:div w:id="2052915983">
      <w:bodyDiv w:val="1"/>
      <w:marLeft w:val="0"/>
      <w:marRight w:val="0"/>
      <w:marTop w:val="0"/>
      <w:marBottom w:val="0"/>
      <w:divBdr>
        <w:top w:val="none" w:sz="0" w:space="0" w:color="auto"/>
        <w:left w:val="none" w:sz="0" w:space="0" w:color="auto"/>
        <w:bottom w:val="none" w:sz="0" w:space="0" w:color="auto"/>
        <w:right w:val="none" w:sz="0" w:space="0" w:color="auto"/>
      </w:divBdr>
    </w:div>
    <w:div w:id="2077969468">
      <w:bodyDiv w:val="1"/>
      <w:marLeft w:val="0"/>
      <w:marRight w:val="0"/>
      <w:marTop w:val="0"/>
      <w:marBottom w:val="0"/>
      <w:divBdr>
        <w:top w:val="none" w:sz="0" w:space="0" w:color="auto"/>
        <w:left w:val="none" w:sz="0" w:space="0" w:color="auto"/>
        <w:bottom w:val="none" w:sz="0" w:space="0" w:color="auto"/>
        <w:right w:val="none" w:sz="0" w:space="0" w:color="auto"/>
      </w:divBdr>
    </w:div>
    <w:div w:id="2085909262">
      <w:bodyDiv w:val="1"/>
      <w:marLeft w:val="0"/>
      <w:marRight w:val="0"/>
      <w:marTop w:val="0"/>
      <w:marBottom w:val="0"/>
      <w:divBdr>
        <w:top w:val="none" w:sz="0" w:space="0" w:color="auto"/>
        <w:left w:val="none" w:sz="0" w:space="0" w:color="auto"/>
        <w:bottom w:val="none" w:sz="0" w:space="0" w:color="auto"/>
        <w:right w:val="none" w:sz="0" w:space="0" w:color="auto"/>
      </w:divBdr>
    </w:div>
    <w:div w:id="2086952848">
      <w:bodyDiv w:val="1"/>
      <w:marLeft w:val="0"/>
      <w:marRight w:val="0"/>
      <w:marTop w:val="0"/>
      <w:marBottom w:val="0"/>
      <w:divBdr>
        <w:top w:val="none" w:sz="0" w:space="0" w:color="auto"/>
        <w:left w:val="none" w:sz="0" w:space="0" w:color="auto"/>
        <w:bottom w:val="none" w:sz="0" w:space="0" w:color="auto"/>
        <w:right w:val="none" w:sz="0" w:space="0" w:color="auto"/>
      </w:divBdr>
    </w:div>
    <w:div w:id="2110348751">
      <w:bodyDiv w:val="1"/>
      <w:marLeft w:val="0"/>
      <w:marRight w:val="0"/>
      <w:marTop w:val="0"/>
      <w:marBottom w:val="0"/>
      <w:divBdr>
        <w:top w:val="none" w:sz="0" w:space="0" w:color="auto"/>
        <w:left w:val="none" w:sz="0" w:space="0" w:color="auto"/>
        <w:bottom w:val="none" w:sz="0" w:space="0" w:color="auto"/>
        <w:right w:val="none" w:sz="0" w:space="0" w:color="auto"/>
      </w:divBdr>
    </w:div>
    <w:div w:id="2113234240">
      <w:bodyDiv w:val="1"/>
      <w:marLeft w:val="0"/>
      <w:marRight w:val="0"/>
      <w:marTop w:val="0"/>
      <w:marBottom w:val="0"/>
      <w:divBdr>
        <w:top w:val="none" w:sz="0" w:space="0" w:color="auto"/>
        <w:left w:val="none" w:sz="0" w:space="0" w:color="auto"/>
        <w:bottom w:val="none" w:sz="0" w:space="0" w:color="auto"/>
        <w:right w:val="none" w:sz="0" w:space="0" w:color="auto"/>
      </w:divBdr>
    </w:div>
    <w:div w:id="2131973707">
      <w:bodyDiv w:val="1"/>
      <w:marLeft w:val="0"/>
      <w:marRight w:val="0"/>
      <w:marTop w:val="0"/>
      <w:marBottom w:val="0"/>
      <w:divBdr>
        <w:top w:val="none" w:sz="0" w:space="0" w:color="auto"/>
        <w:left w:val="none" w:sz="0" w:space="0" w:color="auto"/>
        <w:bottom w:val="none" w:sz="0" w:space="0" w:color="auto"/>
        <w:right w:val="none" w:sz="0" w:space="0" w:color="auto"/>
      </w:divBdr>
    </w:div>
    <w:div w:id="21340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0EF61-4ABB-4CBB-8549-42E2B53F221D}">
  <ds:schemaRefs>
    <ds:schemaRef ds:uri="http://schemas.openxmlformats.org/officeDocument/2006/bibliography"/>
  </ds:schemaRefs>
</ds:datastoreItem>
</file>

<file path=customXml/itemProps2.xml><?xml version="1.0" encoding="utf-8"?>
<ds:datastoreItem xmlns:ds="http://schemas.openxmlformats.org/officeDocument/2006/customXml" ds:itemID="{546043E9-266C-4C1D-B4B4-E88EB977491A}">
  <ds:schemaRefs>
    <ds:schemaRef ds:uri="http://schemas.openxmlformats.org/officeDocument/2006/bibliography"/>
  </ds:schemaRefs>
</ds:datastoreItem>
</file>

<file path=customXml/itemProps3.xml><?xml version="1.0" encoding="utf-8"?>
<ds:datastoreItem xmlns:ds="http://schemas.openxmlformats.org/officeDocument/2006/customXml" ds:itemID="{BC9C4FAD-93EB-4AE6-A3E9-96CA0B67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14542</Words>
  <Characters>82895</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Elephant Capital plc</vt:lpstr>
    </vt:vector>
  </TitlesOfParts>
  <Company>Grant Thornton International</Company>
  <LinksUpToDate>false</LinksUpToDate>
  <CharactersWithSpaces>97243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Elephant Capital plc</dc:title>
  <dc:creator>Sandesh Jaju</dc:creator>
  <cp:lastModifiedBy>megan kirsten</cp:lastModifiedBy>
  <cp:revision>2</cp:revision>
  <cp:lastPrinted>2014-02-26T10:32:00Z</cp:lastPrinted>
  <dcterms:created xsi:type="dcterms:W3CDTF">2014-02-27T11:04:00Z</dcterms:created>
  <dcterms:modified xsi:type="dcterms:W3CDTF">2014-02-27T11:04:00Z</dcterms:modified>
</cp:coreProperties>
</file>